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565A5" w14:textId="158CF863" w:rsidR="00FA639F" w:rsidRPr="008E3230" w:rsidRDefault="00FA639F" w:rsidP="00FA639F">
      <w:pPr>
        <w:tabs>
          <w:tab w:val="left" w:pos="12510"/>
        </w:tabs>
        <w:jc w:val="center"/>
        <w:rPr>
          <w:sz w:val="24"/>
          <w:szCs w:val="24"/>
          <w:lang w:val="en-US"/>
        </w:rPr>
      </w:pPr>
      <w:r w:rsidRPr="008E3230">
        <w:rPr>
          <w:noProof/>
          <w:lang w:val="en-US"/>
        </w:rPr>
        <w:drawing>
          <wp:anchor distT="0" distB="0" distL="114300" distR="114300" simplePos="0" relativeHeight="487594496" behindDoc="0" locked="0" layoutInCell="1" allowOverlap="1" wp14:anchorId="26590900" wp14:editId="40BB1B18">
            <wp:simplePos x="0" y="0"/>
            <wp:positionH relativeFrom="column">
              <wp:posOffset>5567045</wp:posOffset>
            </wp:positionH>
            <wp:positionV relativeFrom="paragraph">
              <wp:posOffset>-127000</wp:posOffset>
            </wp:positionV>
            <wp:extent cx="641985" cy="796290"/>
            <wp:effectExtent l="0" t="0" r="5715" b="3810"/>
            <wp:wrapNone/>
            <wp:docPr id="25"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8E3230">
        <w:rPr>
          <w:noProof/>
          <w:sz w:val="24"/>
          <w:szCs w:val="24"/>
          <w:lang w:val="en-US"/>
        </w:rPr>
        <w:drawing>
          <wp:anchor distT="0" distB="0" distL="114300" distR="114300" simplePos="0" relativeHeight="487593472" behindDoc="0" locked="0" layoutInCell="1" allowOverlap="1" wp14:anchorId="650B363E" wp14:editId="7A2CD025">
            <wp:simplePos x="0" y="0"/>
            <wp:positionH relativeFrom="column">
              <wp:posOffset>-50800</wp:posOffset>
            </wp:positionH>
            <wp:positionV relativeFrom="paragraph">
              <wp:posOffset>-64770</wp:posOffset>
            </wp:positionV>
            <wp:extent cx="923925" cy="800100"/>
            <wp:effectExtent l="0" t="0" r="9525" b="0"/>
            <wp:wrapNone/>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8E3230">
        <w:rPr>
          <w:sz w:val="24"/>
          <w:szCs w:val="24"/>
        </w:rPr>
        <w:t xml:space="preserve"> Jurnal Ners Volume </w:t>
      </w:r>
      <w:r w:rsidRPr="008E3230">
        <w:rPr>
          <w:sz w:val="24"/>
          <w:szCs w:val="24"/>
          <w:lang w:val="en-US"/>
        </w:rPr>
        <w:t>9</w:t>
      </w:r>
      <w:r w:rsidRPr="008E3230">
        <w:rPr>
          <w:sz w:val="24"/>
          <w:szCs w:val="24"/>
        </w:rPr>
        <w:t xml:space="preserve"> Nomor </w:t>
      </w:r>
      <w:r>
        <w:rPr>
          <w:sz w:val="24"/>
          <w:szCs w:val="24"/>
        </w:rPr>
        <w:t>4</w:t>
      </w:r>
      <w:r w:rsidRPr="008E3230">
        <w:rPr>
          <w:sz w:val="24"/>
          <w:szCs w:val="24"/>
        </w:rPr>
        <w:t xml:space="preserve"> Tahun 202</w:t>
      </w:r>
      <w:r w:rsidRPr="008E3230">
        <w:rPr>
          <w:sz w:val="24"/>
          <w:szCs w:val="24"/>
          <w:lang w:val="en-US"/>
        </w:rPr>
        <w:t>5</w:t>
      </w:r>
      <w:r w:rsidRPr="008E3230">
        <w:rPr>
          <w:sz w:val="24"/>
          <w:szCs w:val="24"/>
        </w:rPr>
        <w:t xml:space="preserve"> Halaman </w:t>
      </w:r>
      <w:r w:rsidR="006A6D46">
        <w:rPr>
          <w:sz w:val="24"/>
          <w:szCs w:val="24"/>
        </w:rPr>
        <w:t>6278</w:t>
      </w:r>
      <w:r w:rsidRPr="008E3230">
        <w:rPr>
          <w:sz w:val="24"/>
          <w:szCs w:val="24"/>
          <w:lang w:val="en-US"/>
        </w:rPr>
        <w:t xml:space="preserve"> - </w:t>
      </w:r>
      <w:bookmarkStart w:id="0" w:name="_GoBack"/>
      <w:r w:rsidR="006A6D46">
        <w:rPr>
          <w:sz w:val="24"/>
          <w:szCs w:val="24"/>
          <w:lang w:val="en-US"/>
        </w:rPr>
        <w:t>6282</w:t>
      </w:r>
      <w:bookmarkEnd w:id="0"/>
    </w:p>
    <w:p w14:paraId="6D994CB8" w14:textId="77777777" w:rsidR="00FA639F" w:rsidRPr="008E3230" w:rsidRDefault="00FA639F" w:rsidP="00FA639F">
      <w:pPr>
        <w:tabs>
          <w:tab w:val="left" w:pos="12510"/>
        </w:tabs>
        <w:jc w:val="center"/>
        <w:rPr>
          <w:sz w:val="24"/>
          <w:szCs w:val="24"/>
        </w:rPr>
      </w:pPr>
      <w:r w:rsidRPr="008E3230">
        <w:rPr>
          <w:b/>
          <w:bCs/>
          <w:sz w:val="24"/>
          <w:szCs w:val="24"/>
        </w:rPr>
        <w:t>JURNAL NERS</w:t>
      </w:r>
    </w:p>
    <w:p w14:paraId="2D21309F" w14:textId="77777777" w:rsidR="00FA639F" w:rsidRPr="008E3230" w:rsidRDefault="00FA639F" w:rsidP="00FA639F">
      <w:pPr>
        <w:jc w:val="center"/>
        <w:rPr>
          <w:sz w:val="24"/>
          <w:szCs w:val="24"/>
        </w:rPr>
      </w:pPr>
      <w:r w:rsidRPr="008E3230">
        <w:rPr>
          <w:sz w:val="24"/>
          <w:szCs w:val="24"/>
        </w:rPr>
        <w:t>Research &amp; Learning in Nursing Science</w:t>
      </w:r>
    </w:p>
    <w:p w14:paraId="6D530E50" w14:textId="77777777" w:rsidR="00FA639F" w:rsidRPr="008E3230" w:rsidRDefault="00FA639F" w:rsidP="00FA639F">
      <w:pPr>
        <w:pBdr>
          <w:bottom w:val="double" w:sz="6" w:space="0" w:color="auto"/>
        </w:pBdr>
        <w:jc w:val="center"/>
        <w:rPr>
          <w:sz w:val="24"/>
        </w:rPr>
      </w:pPr>
      <w:r w:rsidRPr="008E3230">
        <w:rPr>
          <w:sz w:val="24"/>
        </w:rPr>
        <w:t>http://journal.universitaspahlawan.ac.id/index.php/ners</w:t>
      </w:r>
    </w:p>
    <w:p w14:paraId="260CB227" w14:textId="77777777" w:rsidR="00404DB8" w:rsidRDefault="00404DB8">
      <w:pPr>
        <w:pStyle w:val="BodyText"/>
        <w:spacing w:before="40"/>
        <w:ind w:left="0"/>
        <w:jc w:val="left"/>
        <w:rPr>
          <w:sz w:val="28"/>
        </w:rPr>
      </w:pPr>
    </w:p>
    <w:p w14:paraId="501B5663" w14:textId="35A0CEC8" w:rsidR="00404DB8" w:rsidRDefault="00FA639F">
      <w:pPr>
        <w:pStyle w:val="Title"/>
      </w:pPr>
      <w:r>
        <w:t>EFFECTIVENESS</w:t>
      </w:r>
      <w:r>
        <w:rPr>
          <w:spacing w:val="-6"/>
        </w:rPr>
        <w:t xml:space="preserve"> </w:t>
      </w:r>
      <w:r>
        <w:t>OF</w:t>
      </w:r>
      <w:r>
        <w:rPr>
          <w:spacing w:val="-6"/>
        </w:rPr>
        <w:t xml:space="preserve"> </w:t>
      </w:r>
      <w:r>
        <w:t>FIBRINOLYTIC</w:t>
      </w:r>
      <w:r>
        <w:rPr>
          <w:spacing w:val="-6"/>
        </w:rPr>
        <w:t xml:space="preserve"> </w:t>
      </w:r>
      <w:r>
        <w:t>THERAPY</w:t>
      </w:r>
      <w:r>
        <w:rPr>
          <w:spacing w:val="-6"/>
        </w:rPr>
        <w:t xml:space="preserve"> </w:t>
      </w:r>
      <w:r>
        <w:t>IN</w:t>
      </w:r>
      <w:r>
        <w:rPr>
          <w:spacing w:val="-6"/>
        </w:rPr>
        <w:t xml:space="preserve"> </w:t>
      </w:r>
      <w:r>
        <w:t>ST-ELEVATION</w:t>
      </w:r>
      <w:r>
        <w:rPr>
          <w:spacing w:val="-6"/>
        </w:rPr>
        <w:t xml:space="preserve"> </w:t>
      </w:r>
      <w:r>
        <w:t>MYOCARDIAL</w:t>
      </w:r>
      <w:r>
        <w:rPr>
          <w:spacing w:val="-6"/>
        </w:rPr>
        <w:t xml:space="preserve"> </w:t>
      </w:r>
      <w:r>
        <w:t>INFARCTION PATIENT IN ARCHIPELAGO AREA</w:t>
      </w:r>
    </w:p>
    <w:p w14:paraId="43CDF419" w14:textId="77777777" w:rsidR="00404DB8" w:rsidRDefault="00EE1AF3">
      <w:pPr>
        <w:pStyle w:val="Heading1"/>
        <w:spacing w:before="276"/>
        <w:ind w:right="75"/>
      </w:pPr>
      <w:r>
        <w:t>Mirza</w:t>
      </w:r>
      <w:r>
        <w:rPr>
          <w:spacing w:val="-5"/>
        </w:rPr>
        <w:t xml:space="preserve"> </w:t>
      </w:r>
      <w:r>
        <w:t>Sanjaya</w:t>
      </w:r>
      <w:r>
        <w:rPr>
          <w:vertAlign w:val="superscript"/>
        </w:rPr>
        <w:t>1</w:t>
      </w:r>
      <w:r>
        <w:t>,</w:t>
      </w:r>
      <w:r>
        <w:rPr>
          <w:spacing w:val="-2"/>
        </w:rPr>
        <w:t xml:space="preserve"> </w:t>
      </w:r>
      <w:r>
        <w:t>Bambang</w:t>
      </w:r>
      <w:r>
        <w:rPr>
          <w:spacing w:val="-2"/>
        </w:rPr>
        <w:t xml:space="preserve"> </w:t>
      </w:r>
      <w:r>
        <w:t>Hermawan</w:t>
      </w:r>
      <w:r>
        <w:rPr>
          <w:vertAlign w:val="superscript"/>
        </w:rPr>
        <w:t>2</w:t>
      </w:r>
      <w:r>
        <w:t>,</w:t>
      </w:r>
      <w:r>
        <w:rPr>
          <w:spacing w:val="-2"/>
        </w:rPr>
        <w:t xml:space="preserve"> </w:t>
      </w:r>
      <w:r>
        <w:t>Dorothea</w:t>
      </w:r>
      <w:r>
        <w:rPr>
          <w:spacing w:val="-2"/>
        </w:rPr>
        <w:t xml:space="preserve"> Apitule</w:t>
      </w:r>
      <w:r>
        <w:rPr>
          <w:spacing w:val="-2"/>
          <w:vertAlign w:val="superscript"/>
        </w:rPr>
        <w:t>3</w:t>
      </w:r>
    </w:p>
    <w:p w14:paraId="33ABB2F3" w14:textId="77777777" w:rsidR="00FA639F" w:rsidRDefault="00EE1AF3">
      <w:pPr>
        <w:pStyle w:val="BodyText"/>
        <w:ind w:left="75" w:right="75"/>
        <w:jc w:val="center"/>
      </w:pPr>
      <w:r>
        <w:rPr>
          <w:vertAlign w:val="superscript"/>
        </w:rPr>
        <w:t>1</w:t>
      </w:r>
      <w:r>
        <w:t>Department</w:t>
      </w:r>
      <w:r>
        <w:rPr>
          <w:spacing w:val="-4"/>
        </w:rPr>
        <w:t xml:space="preserve"> </w:t>
      </w:r>
      <w:r>
        <w:t>of</w:t>
      </w:r>
      <w:r>
        <w:rPr>
          <w:spacing w:val="-4"/>
        </w:rPr>
        <w:t xml:space="preserve"> </w:t>
      </w:r>
      <w:r>
        <w:t>Outpatient,</w:t>
      </w:r>
      <w:r>
        <w:rPr>
          <w:spacing w:val="-4"/>
        </w:rPr>
        <w:t xml:space="preserve"> </w:t>
      </w:r>
      <w:r>
        <w:t>Selat</w:t>
      </w:r>
      <w:r>
        <w:rPr>
          <w:spacing w:val="-4"/>
        </w:rPr>
        <w:t xml:space="preserve"> </w:t>
      </w:r>
      <w:r>
        <w:t>Nasik</w:t>
      </w:r>
      <w:r>
        <w:rPr>
          <w:spacing w:val="-4"/>
        </w:rPr>
        <w:t xml:space="preserve"> </w:t>
      </w:r>
      <w:r>
        <w:t>Primary</w:t>
      </w:r>
      <w:r>
        <w:rPr>
          <w:spacing w:val="-4"/>
        </w:rPr>
        <w:t xml:space="preserve"> </w:t>
      </w:r>
      <w:r>
        <w:t>Health</w:t>
      </w:r>
      <w:r>
        <w:rPr>
          <w:spacing w:val="-4"/>
        </w:rPr>
        <w:t xml:space="preserve"> </w:t>
      </w:r>
      <w:r>
        <w:t>Care,</w:t>
      </w:r>
      <w:r>
        <w:rPr>
          <w:spacing w:val="-4"/>
        </w:rPr>
        <w:t xml:space="preserve"> </w:t>
      </w:r>
      <w:r>
        <w:t>Belitung,</w:t>
      </w:r>
      <w:r>
        <w:rPr>
          <w:spacing w:val="-4"/>
        </w:rPr>
        <w:t xml:space="preserve"> </w:t>
      </w:r>
      <w:r w:rsidR="00FA639F">
        <w:t>Indonesia</w:t>
      </w:r>
    </w:p>
    <w:p w14:paraId="75ECBD13" w14:textId="77777777" w:rsidR="00FA639F" w:rsidRDefault="00EE1AF3">
      <w:pPr>
        <w:pStyle w:val="BodyText"/>
        <w:ind w:left="75" w:right="75"/>
        <w:jc w:val="center"/>
      </w:pPr>
      <w:r>
        <w:rPr>
          <w:spacing w:val="-2"/>
        </w:rPr>
        <w:t xml:space="preserve"> </w:t>
      </w:r>
      <w:r>
        <w:rPr>
          <w:vertAlign w:val="superscript"/>
        </w:rPr>
        <w:t>2</w:t>
      </w:r>
      <w:r>
        <w:t>Department</w:t>
      </w:r>
      <w:r>
        <w:rPr>
          <w:spacing w:val="-4"/>
        </w:rPr>
        <w:t xml:space="preserve"> </w:t>
      </w:r>
      <w:r>
        <w:t>of</w:t>
      </w:r>
      <w:r>
        <w:rPr>
          <w:spacing w:val="-4"/>
        </w:rPr>
        <w:t xml:space="preserve"> </w:t>
      </w:r>
      <w:r>
        <w:t>Emergency, dr. H. Marsidi Judono General</w:t>
      </w:r>
      <w:r w:rsidR="00FA639F">
        <w:t xml:space="preserve"> Hospital, Belitung, Indonesia</w:t>
      </w:r>
    </w:p>
    <w:p w14:paraId="4F1A3EA5" w14:textId="161E778B" w:rsidR="00404DB8" w:rsidRDefault="00EE1AF3">
      <w:pPr>
        <w:pStyle w:val="BodyText"/>
        <w:ind w:left="75" w:right="75"/>
        <w:jc w:val="center"/>
      </w:pPr>
      <w:r>
        <w:rPr>
          <w:vertAlign w:val="superscript"/>
        </w:rPr>
        <w:t>3</w:t>
      </w:r>
      <w:r>
        <w:t>Department of Cardiology, dr. H. Marsidi Judono General Hospital, Belitung, Indonesia</w:t>
      </w:r>
    </w:p>
    <w:p w14:paraId="3CE2186F" w14:textId="29DCC9B8" w:rsidR="00404DB8" w:rsidRDefault="00EE1AF3">
      <w:pPr>
        <w:pStyle w:val="BodyText"/>
        <w:spacing w:before="40"/>
        <w:ind w:left="331" w:right="333"/>
        <w:jc w:val="center"/>
      </w:pPr>
      <w:hyperlink r:id="rId11">
        <w:r w:rsidR="00404DB8">
          <w:rPr>
            <w:spacing w:val="-2"/>
          </w:rPr>
          <w:t>mrz_oto@yahoo.com</w:t>
        </w:r>
      </w:hyperlink>
    </w:p>
    <w:p w14:paraId="48D021A8" w14:textId="77777777" w:rsidR="00404DB8" w:rsidRDefault="00EE1AF3">
      <w:pPr>
        <w:pStyle w:val="BodyText"/>
        <w:spacing w:before="74"/>
        <w:ind w:left="0"/>
        <w:jc w:val="left"/>
        <w:rPr>
          <w:sz w:val="20"/>
        </w:rPr>
      </w:pPr>
      <w:r>
        <w:rPr>
          <w:noProof/>
          <w:sz w:val="20"/>
          <w:lang w:val="en-US"/>
        </w:rPr>
        <mc:AlternateContent>
          <mc:Choice Requires="wps">
            <w:drawing>
              <wp:anchor distT="0" distB="0" distL="0" distR="0" simplePos="0" relativeHeight="487588352" behindDoc="1" locked="0" layoutInCell="1" allowOverlap="1" wp14:anchorId="6FE83B38" wp14:editId="3B34D917">
                <wp:simplePos x="0" y="0"/>
                <wp:positionH relativeFrom="page">
                  <wp:posOffset>667800</wp:posOffset>
                </wp:positionH>
                <wp:positionV relativeFrom="paragraph">
                  <wp:posOffset>208757</wp:posOffset>
                </wp:positionV>
                <wp:extent cx="622554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1270"/>
                        </a:xfrm>
                        <a:custGeom>
                          <a:avLst/>
                          <a:gdLst/>
                          <a:ahLst/>
                          <a:cxnLst/>
                          <a:rect l="l" t="t" r="r" b="b"/>
                          <a:pathLst>
                            <a:path w="6225540">
                              <a:moveTo>
                                <a:pt x="0" y="0"/>
                              </a:moveTo>
                              <a:lnTo>
                                <a:pt x="6225340"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5B5495" id="Graphic 7" o:spid="_x0000_s1026" style="position:absolute;margin-left:52.6pt;margin-top:16.45pt;width:490.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5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" path="m,l6225340,e" filled="f" strokeweight=".26456mm">
                <v:path arrowok="t"/>
                <w10:wrap type="topAndBottom" anchorx="page"/>
              </v:shape>
            </w:pict>
          </mc:Fallback>
        </mc:AlternateContent>
      </w:r>
    </w:p>
    <w:p w14:paraId="73A800DF" w14:textId="77777777" w:rsidR="00404DB8" w:rsidRDefault="00404DB8">
      <w:pPr>
        <w:pStyle w:val="BodyText"/>
        <w:spacing w:before="112"/>
        <w:ind w:left="0"/>
        <w:jc w:val="left"/>
      </w:pPr>
    </w:p>
    <w:p w14:paraId="03422175" w14:textId="77777777" w:rsidR="00404DB8" w:rsidRDefault="00EE1AF3" w:rsidP="00FA639F">
      <w:pPr>
        <w:spacing w:before="120" w:after="120"/>
        <w:ind w:left="85"/>
        <w:rPr>
          <w:b/>
          <w:i/>
        </w:rPr>
      </w:pPr>
      <w:r>
        <w:rPr>
          <w:b/>
          <w:i/>
          <w:spacing w:val="-2"/>
        </w:rPr>
        <w:t>Abstract</w:t>
      </w:r>
    </w:p>
    <w:p w14:paraId="1B0A3A7B" w14:textId="207D447E" w:rsidR="00404DB8" w:rsidRDefault="009D4C03" w:rsidP="00FA639F">
      <w:pPr>
        <w:spacing w:before="120" w:after="120"/>
        <w:ind w:left="85" w:right="87"/>
        <w:jc w:val="both"/>
        <w:rPr>
          <w:i/>
        </w:rPr>
      </w:pPr>
      <w:r w:rsidRPr="009D4C03">
        <w:rPr>
          <w:i/>
        </w:rPr>
        <w:t>Acute coronary syndrome, particularly ST-Elevation Myocardial Infarction (STEMI), remains a major cause of mortality in Indonesia. Fibrinolysis continues to be a relevant reperfusion strategy, especially in areas with limited access to primary PCI. This report presents the case of a 58-year-old male who presented to the emergency department with seven hours of chest pain radiating to the left arm and jaw, accompanied by diaphoresis and nausea. The patient had a history of uncontrolled hypertension and an 18-year smoking habit. Blood pressure was 176/111 mmHg, and ECG showed ST-segment elevation in leads II, III, aVF, V5, and V6. He was diagnosed with inferior-apical STEMI with possible posterior involvement, Killip I, and promptly received fibrinolytic therapy according to protocol. Following fibrinolysis, the patient experienced reduced chest pain, improved hemodynamic stability, and no acute complications. This case highlights fibrinolysis as an effective reperfusion alternative when performed promptly, while underscoring the importance of early diagnosis, appropriate therapy, and efficient referral systems to reduce mortality, particularly in archipelagic regions with limited access to primary PCI</w:t>
      </w:r>
      <w:r>
        <w:rPr>
          <w:i/>
        </w:rPr>
        <w:t>.</w:t>
      </w:r>
    </w:p>
    <w:p w14:paraId="72724445" w14:textId="0819F740" w:rsidR="00404DB8" w:rsidRDefault="00EE1AF3" w:rsidP="00FA639F">
      <w:pPr>
        <w:spacing w:before="120" w:after="120"/>
        <w:ind w:left="85"/>
        <w:jc w:val="both"/>
        <w:rPr>
          <w:i/>
        </w:rPr>
      </w:pPr>
      <w:r>
        <w:rPr>
          <w:b/>
          <w:i/>
        </w:rPr>
        <w:t>Keywords</w:t>
      </w:r>
      <w:r>
        <w:rPr>
          <w:rFonts w:ascii="Arial Narrow"/>
          <w:b/>
        </w:rPr>
        <w:t>:</w:t>
      </w:r>
      <w:r>
        <w:rPr>
          <w:rFonts w:ascii="Arial Narrow"/>
          <w:b/>
          <w:spacing w:val="-2"/>
        </w:rPr>
        <w:t xml:space="preserve"> </w:t>
      </w:r>
      <w:r w:rsidR="009D4C03" w:rsidRPr="009D4C03">
        <w:rPr>
          <w:i/>
        </w:rPr>
        <w:t>Acute Coronary Syndrome</w:t>
      </w:r>
      <w:r w:rsidR="009D4C03">
        <w:rPr>
          <w:i/>
        </w:rPr>
        <w:t>,</w:t>
      </w:r>
      <w:r w:rsidR="009D4C03" w:rsidRPr="009D4C03">
        <w:rPr>
          <w:i/>
        </w:rPr>
        <w:t xml:space="preserve"> Fibrinolysis</w:t>
      </w:r>
      <w:r w:rsidR="009D4C03">
        <w:rPr>
          <w:i/>
        </w:rPr>
        <w:t>,</w:t>
      </w:r>
      <w:r w:rsidR="009D4C03" w:rsidRPr="009D4C03">
        <w:rPr>
          <w:i/>
        </w:rPr>
        <w:t xml:space="preserve"> Primary PCI Limitation</w:t>
      </w:r>
      <w:r w:rsidR="009D4C03">
        <w:rPr>
          <w:i/>
        </w:rPr>
        <w:t>,</w:t>
      </w:r>
      <w:r w:rsidR="009D4C03" w:rsidRPr="009D4C03">
        <w:rPr>
          <w:i/>
        </w:rPr>
        <w:t xml:space="preserve"> ST-Elevation Myocardial Infarction (STEMI)</w:t>
      </w:r>
    </w:p>
    <w:p w14:paraId="24B1F5C4" w14:textId="77777777" w:rsidR="00404DB8" w:rsidRDefault="00404DB8">
      <w:pPr>
        <w:pStyle w:val="BodyText"/>
        <w:spacing w:before="49"/>
        <w:ind w:left="0"/>
        <w:jc w:val="left"/>
        <w:rPr>
          <w:i/>
          <w:sz w:val="20"/>
        </w:rPr>
      </w:pPr>
    </w:p>
    <w:p w14:paraId="1633507E" w14:textId="77777777" w:rsidR="00FA639F" w:rsidRDefault="00FA639F">
      <w:pPr>
        <w:pStyle w:val="BodyText"/>
        <w:spacing w:before="49"/>
        <w:ind w:left="0"/>
        <w:jc w:val="left"/>
        <w:rPr>
          <w:i/>
          <w:sz w:val="20"/>
        </w:rPr>
      </w:pPr>
    </w:p>
    <w:p w14:paraId="5A2E2CDA" w14:textId="282D6232" w:rsidR="00404DB8" w:rsidRDefault="00EE1AF3">
      <w:pPr>
        <w:spacing w:before="1"/>
        <w:ind w:left="4056"/>
        <w:rPr>
          <w:sz w:val="20"/>
        </w:rPr>
      </w:pPr>
      <w:r>
        <w:rPr>
          <w:sz w:val="20"/>
        </w:rPr>
        <w:t>@Jurnal</w:t>
      </w:r>
      <w:r>
        <w:rPr>
          <w:spacing w:val="-4"/>
          <w:sz w:val="20"/>
        </w:rPr>
        <w:t xml:space="preserve"> </w:t>
      </w:r>
      <w:r>
        <w:rPr>
          <w:sz w:val="20"/>
        </w:rPr>
        <w:t>Ners</w:t>
      </w:r>
      <w:r>
        <w:rPr>
          <w:spacing w:val="-3"/>
          <w:sz w:val="20"/>
        </w:rPr>
        <w:t xml:space="preserve"> </w:t>
      </w:r>
      <w:r>
        <w:rPr>
          <w:sz w:val="20"/>
        </w:rPr>
        <w:t>Prodi</w:t>
      </w:r>
      <w:r>
        <w:rPr>
          <w:spacing w:val="-3"/>
          <w:sz w:val="20"/>
        </w:rPr>
        <w:t xml:space="preserve"> </w:t>
      </w:r>
      <w:r>
        <w:rPr>
          <w:sz w:val="20"/>
        </w:rPr>
        <w:t>Sarjana</w:t>
      </w:r>
      <w:r>
        <w:rPr>
          <w:spacing w:val="-3"/>
          <w:sz w:val="20"/>
        </w:rPr>
        <w:t xml:space="preserve"> </w:t>
      </w:r>
      <w:r>
        <w:rPr>
          <w:sz w:val="20"/>
        </w:rPr>
        <w:t>Keperawatan</w:t>
      </w:r>
      <w:r>
        <w:rPr>
          <w:spacing w:val="-3"/>
          <w:sz w:val="20"/>
        </w:rPr>
        <w:t xml:space="preserve"> </w:t>
      </w:r>
      <w:r>
        <w:rPr>
          <w:sz w:val="20"/>
        </w:rPr>
        <w:t>&amp;</w:t>
      </w:r>
      <w:r>
        <w:rPr>
          <w:spacing w:val="-3"/>
          <w:sz w:val="20"/>
        </w:rPr>
        <w:t xml:space="preserve"> </w:t>
      </w:r>
      <w:r>
        <w:rPr>
          <w:sz w:val="20"/>
        </w:rPr>
        <w:t>Profesi</w:t>
      </w:r>
      <w:r>
        <w:rPr>
          <w:spacing w:val="-3"/>
          <w:sz w:val="20"/>
        </w:rPr>
        <w:t xml:space="preserve"> </w:t>
      </w:r>
      <w:r>
        <w:rPr>
          <w:sz w:val="20"/>
        </w:rPr>
        <w:t>Ners</w:t>
      </w:r>
      <w:r>
        <w:rPr>
          <w:spacing w:val="-3"/>
          <w:sz w:val="20"/>
        </w:rPr>
        <w:t xml:space="preserve"> </w:t>
      </w:r>
      <w:r>
        <w:rPr>
          <w:sz w:val="20"/>
        </w:rPr>
        <w:t>FIK</w:t>
      </w:r>
      <w:r>
        <w:rPr>
          <w:spacing w:val="-3"/>
          <w:sz w:val="20"/>
        </w:rPr>
        <w:t xml:space="preserve"> </w:t>
      </w:r>
      <w:r>
        <w:rPr>
          <w:sz w:val="20"/>
        </w:rPr>
        <w:t>UP</w:t>
      </w:r>
      <w:r>
        <w:rPr>
          <w:spacing w:val="-3"/>
          <w:sz w:val="20"/>
        </w:rPr>
        <w:t xml:space="preserve"> </w:t>
      </w:r>
      <w:r w:rsidR="00FA639F">
        <w:rPr>
          <w:spacing w:val="-4"/>
          <w:sz w:val="20"/>
        </w:rPr>
        <w:t>2025</w:t>
      </w:r>
    </w:p>
    <w:p w14:paraId="387BA06E" w14:textId="77777777" w:rsidR="00404DB8" w:rsidRDefault="00404DB8">
      <w:pPr>
        <w:pStyle w:val="BodyText"/>
        <w:spacing w:before="29"/>
        <w:ind w:left="0"/>
        <w:jc w:val="left"/>
        <w:rPr>
          <w:sz w:val="20"/>
        </w:rPr>
      </w:pPr>
    </w:p>
    <w:p w14:paraId="79C671C0" w14:textId="77777777" w:rsidR="00404DB8" w:rsidRDefault="00EE1AF3">
      <w:pPr>
        <w:pStyle w:val="BodyText"/>
        <w:spacing w:before="1" w:line="266" w:lineRule="auto"/>
        <w:ind w:left="88" w:right="7015" w:firstLine="304"/>
        <w:jc w:val="left"/>
      </w:pPr>
      <w:r>
        <w:rPr>
          <w:noProof/>
          <w:lang w:val="en-US"/>
        </w:rPr>
        <mc:AlternateContent>
          <mc:Choice Requires="wpg">
            <w:drawing>
              <wp:anchor distT="0" distB="0" distL="0" distR="0" simplePos="0" relativeHeight="487428096" behindDoc="1" locked="0" layoutInCell="1" allowOverlap="1" wp14:anchorId="75792A08" wp14:editId="444E7D93">
                <wp:simplePos x="0" y="0"/>
                <wp:positionH relativeFrom="page">
                  <wp:posOffset>667800</wp:posOffset>
                </wp:positionH>
                <wp:positionV relativeFrom="paragraph">
                  <wp:posOffset>-2607</wp:posOffset>
                </wp:positionV>
                <wp:extent cx="6225540" cy="1339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133985"/>
                          <a:chOff x="0" y="0"/>
                          <a:chExt cx="6225540" cy="133985"/>
                        </a:xfrm>
                      </wpg:grpSpPr>
                      <wps:wsp>
                        <wps:cNvPr id="9" name="Graphic 9"/>
                        <wps:cNvSpPr/>
                        <wps:spPr>
                          <a:xfrm>
                            <a:off x="0" y="3174"/>
                            <a:ext cx="6225540" cy="1270"/>
                          </a:xfrm>
                          <a:custGeom>
                            <a:avLst/>
                            <a:gdLst/>
                            <a:ahLst/>
                            <a:cxnLst/>
                            <a:rect l="l" t="t" r="r" b="b"/>
                            <a:pathLst>
                              <a:path w="6225540">
                                <a:moveTo>
                                  <a:pt x="0" y="0"/>
                                </a:moveTo>
                                <a:lnTo>
                                  <a:pt x="6225340" y="0"/>
                                </a:lnTo>
                              </a:path>
                            </a:pathLst>
                          </a:custGeom>
                          <a:ln w="63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2" cstate="print"/>
                          <a:stretch>
                            <a:fillRect/>
                          </a:stretch>
                        </pic:blipFill>
                        <pic:spPr>
                          <a:xfrm>
                            <a:off x="27524" y="31991"/>
                            <a:ext cx="139700" cy="101600"/>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7707DE" id="Group 8" o:spid="_x0000_s1026" style="position:absolute;margin-left:52.6pt;margin-top:-.2pt;width:490.2pt;height:10.55pt;z-index:-15888384;mso-wrap-distance-left:0;mso-wrap-distance-right:0;mso-position-horizontal-relative:page" coordsize="62255,1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">
                <v:shape id="Graphic 9" o:spid="_x0000_s1027" style="position:absolute;top:31;width:62255;height:13;visibility:visible;mso-wrap-style:square;v-text-anchor:top" coordsize="6225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" path="m,l6225340,e" filled="f" strokeweight=".1763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275;top:319;width:1397;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">
                  <v:imagedata r:id="rId16" o:title=""/>
                </v:shape>
                <w10:wrap anchorx="page"/>
              </v:group>
            </w:pict>
          </mc:Fallback>
        </mc:AlternateContent>
      </w:r>
      <w:r>
        <w:t>Corresponding</w:t>
      </w:r>
      <w:r>
        <w:rPr>
          <w:spacing w:val="-14"/>
        </w:rPr>
        <w:t xml:space="preserve"> </w:t>
      </w:r>
      <w:r>
        <w:t>author</w:t>
      </w:r>
      <w:r>
        <w:rPr>
          <w:spacing w:val="-14"/>
        </w:rPr>
        <w:t xml:space="preserve"> </w:t>
      </w:r>
      <w:r>
        <w:t>: Mirza Sanjaya</w:t>
      </w:r>
    </w:p>
    <w:p w14:paraId="4D06D221" w14:textId="77777777" w:rsidR="00404DB8" w:rsidRDefault="00EE1AF3">
      <w:pPr>
        <w:pStyle w:val="BodyText"/>
        <w:spacing w:line="225" w:lineRule="exact"/>
        <w:ind w:left="88"/>
        <w:jc w:val="left"/>
      </w:pPr>
      <w:r>
        <w:t>Address</w:t>
      </w:r>
      <w:r>
        <w:rPr>
          <w:spacing w:val="51"/>
        </w:rPr>
        <w:t xml:space="preserve"> </w:t>
      </w:r>
      <w:r>
        <w:t>:</w:t>
      </w:r>
      <w:r>
        <w:rPr>
          <w:spacing w:val="-2"/>
        </w:rPr>
        <w:t xml:space="preserve"> Belitung</w:t>
      </w:r>
    </w:p>
    <w:p w14:paraId="19B80DBD" w14:textId="77777777" w:rsidR="00404DB8" w:rsidRDefault="00EE1AF3">
      <w:pPr>
        <w:pStyle w:val="BodyText"/>
        <w:tabs>
          <w:tab w:val="left" w:pos="938"/>
        </w:tabs>
        <w:ind w:left="88" w:right="6962"/>
        <w:jc w:val="left"/>
      </w:pPr>
      <w:r>
        <w:rPr>
          <w:spacing w:val="-2"/>
        </w:rPr>
        <w:t>Email</w:t>
      </w:r>
      <w:r>
        <w:tab/>
        <w:t>:</w:t>
      </w:r>
      <w:r>
        <w:rPr>
          <w:spacing w:val="-14"/>
        </w:rPr>
        <w:t xml:space="preserve"> </w:t>
      </w:r>
      <w:hyperlink r:id="rId17">
        <w:r w:rsidR="00404DB8">
          <w:t>mrz_oto@yahoo.com</w:t>
        </w:r>
      </w:hyperlink>
      <w:r>
        <w:t xml:space="preserve"> </w:t>
      </w:r>
      <w:r>
        <w:rPr>
          <w:spacing w:val="-2"/>
        </w:rPr>
        <w:t>Phone</w:t>
      </w:r>
      <w:r>
        <w:tab/>
        <w:t>: +62 813 2826 7777</w:t>
      </w:r>
    </w:p>
    <w:p w14:paraId="44F3C5A8" w14:textId="77777777" w:rsidR="00404DB8" w:rsidRDefault="00404DB8">
      <w:pPr>
        <w:pStyle w:val="BodyText"/>
        <w:jc w:val="left"/>
        <w:sectPr w:rsidR="00404DB8">
          <w:footerReference w:type="default" r:id="rId18"/>
          <w:type w:val="continuous"/>
          <w:pgSz w:w="11910" w:h="18720"/>
          <w:pgMar w:top="1260" w:right="992" w:bottom="1260" w:left="992" w:header="0" w:footer="1065" w:gutter="0"/>
          <w:pgNumType w:start="1"/>
          <w:cols w:space="720"/>
        </w:sectPr>
      </w:pPr>
    </w:p>
    <w:p w14:paraId="7BC3A05F" w14:textId="77777777" w:rsidR="00404DB8" w:rsidRDefault="00EE1AF3" w:rsidP="00FA639F">
      <w:pPr>
        <w:pStyle w:val="Heading2"/>
        <w:spacing w:before="0"/>
        <w:ind w:left="142"/>
      </w:pPr>
      <w:r>
        <w:rPr>
          <w:spacing w:val="-2"/>
        </w:rPr>
        <w:lastRenderedPageBreak/>
        <w:t>INTRODUCTION</w:t>
      </w:r>
    </w:p>
    <w:p w14:paraId="1AEC5945" w14:textId="77777777" w:rsidR="00404DB8" w:rsidRDefault="00EE1AF3">
      <w:pPr>
        <w:pStyle w:val="BodyText"/>
        <w:spacing w:before="120"/>
        <w:ind w:right="38" w:firstLine="567"/>
      </w:pPr>
      <w:r>
        <w:t>Cardiovascular disease is one of the leading causes of death worldwide (Ali &amp; Loebis, 2025). The onset and progression of coronary heart disease are significantly associated with lifestyle factors (smoking, unhealthy diet, lack of physical activity, psycho</w:t>
      </w:r>
      <w:r>
        <w:t>social stress) and other risk factors such as hypertension, dyslipidemia, diabetes mellitus (DM), and obesity (Wician, 2025). Acute myocardial infarction with ST-segment elevation</w:t>
      </w:r>
      <w:r>
        <w:rPr>
          <w:spacing w:val="40"/>
        </w:rPr>
        <w:t xml:space="preserve"> </w:t>
      </w:r>
      <w:r>
        <w:t>is a life-threatening medical emergency. The fundamental goal in managing ST</w:t>
      </w:r>
      <w:r>
        <w:t>EMI is to</w:t>
      </w:r>
      <w:r>
        <w:rPr>
          <w:spacing w:val="40"/>
        </w:rPr>
        <w:t xml:space="preserve"> </w:t>
      </w:r>
      <w:r>
        <w:t>achieve rapid, complete, and sustained reperfusion on the occluded coronary artery to limit</w:t>
      </w:r>
      <w:r>
        <w:rPr>
          <w:spacing w:val="40"/>
        </w:rPr>
        <w:t xml:space="preserve"> </w:t>
      </w:r>
      <w:r>
        <w:t>myocardial infarct size, preserve left ventricular function and reduce the risk of death. The</w:t>
      </w:r>
      <w:r>
        <w:rPr>
          <w:spacing w:val="40"/>
        </w:rPr>
        <w:t xml:space="preserve"> </w:t>
      </w:r>
      <w:r>
        <w:t>preferred</w:t>
      </w:r>
      <w:r>
        <w:rPr>
          <w:spacing w:val="-3"/>
        </w:rPr>
        <w:t xml:space="preserve"> </w:t>
      </w:r>
      <w:r>
        <w:t>reperfusion</w:t>
      </w:r>
      <w:r>
        <w:rPr>
          <w:spacing w:val="-3"/>
        </w:rPr>
        <w:t xml:space="preserve"> </w:t>
      </w:r>
      <w:r>
        <w:t>strategy,</w:t>
      </w:r>
      <w:r>
        <w:rPr>
          <w:spacing w:val="-3"/>
        </w:rPr>
        <w:t xml:space="preserve"> </w:t>
      </w:r>
      <w:r>
        <w:t>when</w:t>
      </w:r>
      <w:r>
        <w:rPr>
          <w:spacing w:val="-3"/>
        </w:rPr>
        <w:t xml:space="preserve"> </w:t>
      </w:r>
      <w:r>
        <w:t>available</w:t>
      </w:r>
      <w:r>
        <w:rPr>
          <w:spacing w:val="-3"/>
        </w:rPr>
        <w:t xml:space="preserve"> </w:t>
      </w:r>
      <w:r>
        <w:t>with recommen</w:t>
      </w:r>
      <w:r>
        <w:t>ded timeframes, is primary Percutaneus Coronary Intervention (PCI). International guidelines recommend a “door-to-ballon” time is less than 90 minutes for patients presenting to a PCI-capable hospital (Ibanez et al., 2018).</w:t>
      </w:r>
    </w:p>
    <w:p w14:paraId="7829702C" w14:textId="77777777" w:rsidR="00404DB8" w:rsidRDefault="00EE1AF3">
      <w:pPr>
        <w:pStyle w:val="BodyText"/>
        <w:ind w:right="38" w:firstLine="567"/>
      </w:pPr>
      <w:r>
        <w:t>However,</w:t>
      </w:r>
      <w:r>
        <w:rPr>
          <w:spacing w:val="-1"/>
        </w:rPr>
        <w:t xml:space="preserve"> </w:t>
      </w:r>
      <w:r>
        <w:t>the</w:t>
      </w:r>
      <w:r>
        <w:rPr>
          <w:spacing w:val="-1"/>
        </w:rPr>
        <w:t xml:space="preserve"> </w:t>
      </w:r>
      <w:r>
        <w:t>widespread</w:t>
      </w:r>
      <w:r>
        <w:rPr>
          <w:spacing w:val="-1"/>
        </w:rPr>
        <w:t xml:space="preserve"> </w:t>
      </w:r>
      <w:r>
        <w:t>implemen</w:t>
      </w:r>
      <w:r>
        <w:t>tation</w:t>
      </w:r>
      <w:r>
        <w:rPr>
          <w:spacing w:val="-1"/>
        </w:rPr>
        <w:t xml:space="preserve"> </w:t>
      </w:r>
      <w:r>
        <w:t>of primary PCI is often constrained by significant logistical and geographical barriers, particularly in resource-limited settings or complex terrains such as archipelago nations (Juzar et al., 2022). In these areas, long transport times to speciali</w:t>
      </w:r>
      <w:r>
        <w:t>zed cardiac centres make it impossible to meet the guideline- recommended timelines for PCI. This disparity in access to care can lead to substantial delays in treatment, resulting in poorer clinical outcomes for patients in remote or rural locations (Arms</w:t>
      </w:r>
      <w:r>
        <w:t>trong et al., 2013).</w:t>
      </w:r>
    </w:p>
    <w:p w14:paraId="68C14C75" w14:textId="77777777" w:rsidR="00404DB8" w:rsidRDefault="00EE1AF3">
      <w:pPr>
        <w:pStyle w:val="BodyText"/>
        <w:ind w:right="38" w:firstLine="567"/>
      </w:pPr>
      <w:r>
        <w:t>In situations where timely PCI can not be performed, fibrinolytic therapy serves as a clinical and effective alternative reperfusion strategy. The administration of fibrinolytic agent is recommended if the anticipated delay to PCI is g</w:t>
      </w:r>
      <w:r>
        <w:t>reater than 120 minutes from the time of STEMI diagnosis (Ibanez et al., 2018). The efficacy of this approach is highly time-dependent, with the greatest benefit observed when the “door-to- needle” time is under 30 minutes. While not equivalent to PCI in e</w:t>
      </w:r>
      <w:r>
        <w:t>fficacy, early administration of fibrinolytic therapy can successfully restore coronary artery patency, thereby mitigating myocardial damage and improving survival rates.</w:t>
      </w:r>
    </w:p>
    <w:p w14:paraId="5A9F03BD" w14:textId="77777777" w:rsidR="00404DB8" w:rsidRDefault="00EE1AF3">
      <w:pPr>
        <w:pStyle w:val="BodyText"/>
        <w:ind w:right="38" w:firstLine="720"/>
      </w:pPr>
      <w:r>
        <w:t>This case report describe the successful management of a patient with an inferior-api</w:t>
      </w:r>
      <w:r>
        <w:t xml:space="preserve">cal STEMI in an Indonesian archipelago setting. It aims to highlight the effectiveness of fibrinolytic therapy as a primary reperfusion modality in a resource-limited environment and underscores the importance of accurate diagnosis and prompt treatment to </w:t>
      </w:r>
      <w:r>
        <w:t>reduce mortality when PCI is not immediately accessible.</w:t>
      </w:r>
    </w:p>
    <w:p w14:paraId="215F3E55" w14:textId="77777777" w:rsidR="00404DB8" w:rsidRDefault="00EE1AF3">
      <w:pPr>
        <w:pStyle w:val="Heading2"/>
      </w:pPr>
      <w:r>
        <w:rPr>
          <w:spacing w:val="-2"/>
        </w:rPr>
        <w:t>METHOD</w:t>
      </w:r>
    </w:p>
    <w:p w14:paraId="01FB81EC" w14:textId="60003526" w:rsidR="00404DB8" w:rsidRDefault="009D4C03">
      <w:pPr>
        <w:pStyle w:val="BodyText"/>
        <w:spacing w:before="169"/>
        <w:ind w:right="86"/>
      </w:pPr>
      <w:r w:rsidRPr="009D4C03">
        <w:t xml:space="preserve">This study was conducted in the form of a case </w:t>
      </w:r>
      <w:r w:rsidRPr="009D4C03">
        <w:lastRenderedPageBreak/>
        <w:t>report. Clinical data were comprehensively obtained from the patient’s medical records, including medical history, physical examination, laboratory tests, and electrocardiographic findings at the time of admission. All information was systematically documented and cross-checked against standard clinical guidelines to ensure validity and reliability. To enhance the robustness of the analysis, the case was further contextualized through an in-depth review of recent literature on the management of ST-Elevation Myocardial Infarction (STEMI) in resource-limited settings. This combined approach allowed for both accurate clinical description and a critical discussion of the case’s unique aspects and its contribution to current scientific knowledge</w:t>
      </w:r>
      <w:r>
        <w:t>.</w:t>
      </w:r>
    </w:p>
    <w:p w14:paraId="28B3EF1C" w14:textId="77777777" w:rsidR="00404DB8" w:rsidRDefault="00EE1AF3">
      <w:pPr>
        <w:pStyle w:val="Heading2"/>
        <w:jc w:val="both"/>
      </w:pPr>
      <w:r>
        <w:t>RESULT</w:t>
      </w:r>
      <w:r>
        <w:rPr>
          <w:spacing w:val="-3"/>
        </w:rPr>
        <w:t xml:space="preserve"> </w:t>
      </w:r>
      <w:r>
        <w:t>AND</w:t>
      </w:r>
      <w:r>
        <w:rPr>
          <w:spacing w:val="-2"/>
        </w:rPr>
        <w:t xml:space="preserve"> DISCUSSION</w:t>
      </w:r>
    </w:p>
    <w:p w14:paraId="19E8DDBE" w14:textId="77777777" w:rsidR="00404DB8" w:rsidRDefault="00EE1AF3">
      <w:pPr>
        <w:pStyle w:val="BodyText"/>
        <w:spacing w:before="120"/>
        <w:ind w:right="86" w:firstLine="567"/>
      </w:pPr>
      <w:r>
        <w:t xml:space="preserve">The subject of this study is an 58 year old man, was conscious, came to emergency department of dr. H. Marsidi Judono General </w:t>
      </w:r>
      <w:r>
        <w:t>Hospital with chest pain like being crushed by a heavy object radiating to the left arm and jaw as chief complain since 7 hours before admission that persisted without relief by taking a rest. The other complaints were diaphoresis and nausea with history o</w:t>
      </w:r>
      <w:r>
        <w:t>f smoking since 18 years ago and high blood pressure that had never been treated before. No family history of heart disease, hypertension, and diabetes mellitus. Physical examination show consciousness in mental status, blood pressure was 176/111</w:t>
      </w:r>
      <w:r>
        <w:rPr>
          <w:spacing w:val="-3"/>
        </w:rPr>
        <w:t xml:space="preserve"> </w:t>
      </w:r>
      <w:r>
        <w:t>mmHg,</w:t>
      </w:r>
      <w:r>
        <w:rPr>
          <w:spacing w:val="-3"/>
        </w:rPr>
        <w:t xml:space="preserve"> </w:t>
      </w:r>
      <w:r>
        <w:t>hea</w:t>
      </w:r>
      <w:r>
        <w:t>rt</w:t>
      </w:r>
      <w:r>
        <w:rPr>
          <w:spacing w:val="-3"/>
        </w:rPr>
        <w:t xml:space="preserve"> </w:t>
      </w:r>
      <w:r>
        <w:t>rate</w:t>
      </w:r>
      <w:r>
        <w:rPr>
          <w:spacing w:val="-3"/>
        </w:rPr>
        <w:t xml:space="preserve"> </w:t>
      </w:r>
      <w:r>
        <w:t>was</w:t>
      </w:r>
      <w:r>
        <w:rPr>
          <w:spacing w:val="-3"/>
        </w:rPr>
        <w:t xml:space="preserve"> </w:t>
      </w:r>
      <w:r>
        <w:t>74</w:t>
      </w:r>
      <w:r>
        <w:rPr>
          <w:spacing w:val="-3"/>
        </w:rPr>
        <w:t xml:space="preserve"> </w:t>
      </w:r>
      <w:r>
        <w:t>bpm,</w:t>
      </w:r>
      <w:r>
        <w:rPr>
          <w:spacing w:val="-3"/>
        </w:rPr>
        <w:t xml:space="preserve"> </w:t>
      </w:r>
      <w:r>
        <w:t>respiratory rate was 24 bpm, and temperature was 36,50C. Thoracic examination show that lung and heart were in normal limit without abnormal heart</w:t>
      </w:r>
      <w:r>
        <w:rPr>
          <w:spacing w:val="40"/>
        </w:rPr>
        <w:t xml:space="preserve"> </w:t>
      </w:r>
      <w:r>
        <w:t>sound. The result from ECG was elevation ST- segment in II, III, aVF, V5, and V6. The res</w:t>
      </w:r>
      <w:r>
        <w:t>ult of laboratory test was in normal limit.</w:t>
      </w:r>
    </w:p>
    <w:p w14:paraId="158F80F7" w14:textId="77777777" w:rsidR="00404DB8" w:rsidRDefault="00EE1AF3">
      <w:pPr>
        <w:pStyle w:val="BodyText"/>
        <w:spacing w:before="253"/>
        <w:ind w:right="90"/>
      </w:pPr>
      <w:r>
        <w:t>Table 1. Laboratorium Result at dr. H. Marsidi Judono General Hospital</w:t>
      </w:r>
    </w:p>
    <w:p w14:paraId="3D534D63" w14:textId="77777777" w:rsidR="00404DB8" w:rsidRDefault="00EE1AF3">
      <w:pPr>
        <w:pStyle w:val="BodyText"/>
        <w:spacing w:line="20" w:lineRule="exact"/>
        <w:ind w:left="108"/>
        <w:jc w:val="left"/>
        <w:rPr>
          <w:sz w:val="2"/>
        </w:rPr>
      </w:pPr>
      <w:r>
        <w:rPr>
          <w:noProof/>
          <w:sz w:val="2"/>
          <w:lang w:val="en-US"/>
        </w:rPr>
        <mc:AlternateContent>
          <mc:Choice Requires="wpg">
            <w:drawing>
              <wp:inline distT="0" distB="0" distL="0" distR="0" wp14:anchorId="1234563C" wp14:editId="7CDCE980">
                <wp:extent cx="2694940" cy="9525"/>
                <wp:effectExtent l="9525" t="0" r="635"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4940" cy="9525"/>
                          <a:chOff x="0" y="0"/>
                          <a:chExt cx="2694940" cy="9525"/>
                        </a:xfrm>
                      </wpg:grpSpPr>
                      <wps:wsp>
                        <wps:cNvPr id="16" name="Graphic 16"/>
                        <wps:cNvSpPr/>
                        <wps:spPr>
                          <a:xfrm>
                            <a:off x="0" y="4762"/>
                            <a:ext cx="2694940" cy="1270"/>
                          </a:xfrm>
                          <a:custGeom>
                            <a:avLst/>
                            <a:gdLst/>
                            <a:ahLst/>
                            <a:cxnLst/>
                            <a:rect l="l" t="t" r="r" b="b"/>
                            <a:pathLst>
                              <a:path w="2694940">
                                <a:moveTo>
                                  <a:pt x="1704975" y="0"/>
                                </a:moveTo>
                                <a:lnTo>
                                  <a:pt x="2694940" y="0"/>
                                </a:lnTo>
                              </a:path>
                              <a:path w="2694940">
                                <a:moveTo>
                                  <a:pt x="895350" y="0"/>
                                </a:moveTo>
                                <a:lnTo>
                                  <a:pt x="1704975" y="0"/>
                                </a:lnTo>
                              </a:path>
                              <a:path w="2694940">
                                <a:moveTo>
                                  <a:pt x="0" y="0"/>
                                </a:moveTo>
                                <a:lnTo>
                                  <a:pt x="895350"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6FEB53" id="Group 15" o:spid="_x0000_s1026" style="width:212.2pt;height:.75pt;mso-position-horizontal-relative:char;mso-position-vertical-relative:line" coordsize="26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">
                <v:shape id="Graphic 16" o:spid="_x0000_s1027" style="position:absolute;top:47;width:26949;height:13;visibility:visible;mso-wrap-style:square;v-text-anchor:top" coordsize="2694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" path="m1704975,r989965,em895350,r809625,em,l895350,e" filled="f" strokeweight=".26456mm">
                  <v:path arrowok="t"/>
                </v:shape>
                <w10:anchorlock/>
              </v:group>
            </w:pict>
          </mc:Fallback>
        </mc:AlternateContent>
      </w:r>
    </w:p>
    <w:p w14:paraId="3FCC97A5" w14:textId="77777777" w:rsidR="00404DB8" w:rsidRDefault="00EE1AF3">
      <w:pPr>
        <w:pStyle w:val="Heading3"/>
        <w:tabs>
          <w:tab w:val="left" w:pos="1863"/>
          <w:tab w:val="left" w:pos="2893"/>
        </w:tabs>
        <w:spacing w:before="55"/>
        <w:ind w:left="320"/>
      </w:pPr>
      <w:r>
        <w:rPr>
          <w:spacing w:val="-2"/>
        </w:rPr>
        <w:t>Parameter</w:t>
      </w:r>
      <w:r>
        <w:tab/>
      </w:r>
      <w:r>
        <w:rPr>
          <w:spacing w:val="-2"/>
        </w:rPr>
        <w:t>Result</w:t>
      </w:r>
      <w:r>
        <w:tab/>
        <w:t>Normal</w:t>
      </w:r>
      <w:r>
        <w:rPr>
          <w:spacing w:val="-5"/>
        </w:rPr>
        <w:t xml:space="preserve"> </w:t>
      </w:r>
      <w:r>
        <w:rPr>
          <w:spacing w:val="-2"/>
        </w:rPr>
        <w:t>Range</w:t>
      </w:r>
    </w:p>
    <w:tbl>
      <w:tblPr>
        <w:tblW w:w="0" w:type="auto"/>
        <w:tblInd w:w="123" w:type="dxa"/>
        <w:tblLayout w:type="fixed"/>
        <w:tblCellMar>
          <w:left w:w="0" w:type="dxa"/>
          <w:right w:w="0" w:type="dxa"/>
        </w:tblCellMar>
        <w:tblLook w:val="01E0" w:firstRow="1" w:lastRow="1" w:firstColumn="1" w:lastColumn="1" w:noHBand="0" w:noVBand="0"/>
      </w:tblPr>
      <w:tblGrid>
        <w:gridCol w:w="1448"/>
        <w:gridCol w:w="1210"/>
        <w:gridCol w:w="1586"/>
      </w:tblGrid>
      <w:tr w:rsidR="00404DB8" w:rsidRPr="00FA639F" w14:paraId="0055AA25" w14:textId="77777777" w:rsidTr="00FA639F">
        <w:trPr>
          <w:trHeight w:val="62"/>
        </w:trPr>
        <w:tc>
          <w:tcPr>
            <w:tcW w:w="1448" w:type="dxa"/>
            <w:tcBorders>
              <w:top w:val="single" w:sz="6" w:space="0" w:color="000000"/>
              <w:bottom w:val="single" w:sz="6" w:space="0" w:color="000000"/>
            </w:tcBorders>
          </w:tcPr>
          <w:p w14:paraId="58DA73A7" w14:textId="77777777" w:rsidR="00404DB8" w:rsidRPr="00FA639F" w:rsidRDefault="00EE1AF3" w:rsidP="00FA639F">
            <w:pPr>
              <w:pStyle w:val="TableParagraph"/>
              <w:spacing w:before="0"/>
              <w:jc w:val="left"/>
              <w:rPr>
                <w:sz w:val="20"/>
                <w:szCs w:val="20"/>
              </w:rPr>
            </w:pPr>
            <w:r w:rsidRPr="00FA639F">
              <w:rPr>
                <w:color w:val="252525"/>
                <w:spacing w:val="-2"/>
                <w:sz w:val="20"/>
                <w:szCs w:val="20"/>
              </w:rPr>
              <w:t>Haemoglobin</w:t>
            </w:r>
          </w:p>
        </w:tc>
        <w:tc>
          <w:tcPr>
            <w:tcW w:w="1210" w:type="dxa"/>
            <w:tcBorders>
              <w:top w:val="single" w:sz="6" w:space="0" w:color="000000"/>
              <w:bottom w:val="single" w:sz="6" w:space="0" w:color="000000"/>
            </w:tcBorders>
          </w:tcPr>
          <w:p w14:paraId="4F93B930" w14:textId="77777777" w:rsidR="00404DB8" w:rsidRPr="00FA639F" w:rsidRDefault="00EE1AF3" w:rsidP="00FA639F">
            <w:pPr>
              <w:pStyle w:val="TableParagraph"/>
              <w:spacing w:before="0"/>
              <w:ind w:left="208"/>
              <w:jc w:val="left"/>
              <w:rPr>
                <w:sz w:val="20"/>
                <w:szCs w:val="20"/>
              </w:rPr>
            </w:pPr>
            <w:r w:rsidRPr="00FA639F">
              <w:rPr>
                <w:sz w:val="20"/>
                <w:szCs w:val="20"/>
              </w:rPr>
              <w:t xml:space="preserve">14.7 </w:t>
            </w:r>
            <w:r w:rsidRPr="00FA639F">
              <w:rPr>
                <w:spacing w:val="-4"/>
                <w:sz w:val="20"/>
                <w:szCs w:val="20"/>
              </w:rPr>
              <w:t>g/dl</w:t>
            </w:r>
          </w:p>
        </w:tc>
        <w:tc>
          <w:tcPr>
            <w:tcW w:w="1586" w:type="dxa"/>
            <w:tcBorders>
              <w:top w:val="single" w:sz="6" w:space="0" w:color="000000"/>
              <w:bottom w:val="single" w:sz="6" w:space="0" w:color="000000"/>
            </w:tcBorders>
          </w:tcPr>
          <w:p w14:paraId="71345960" w14:textId="77777777" w:rsidR="00404DB8" w:rsidRPr="00FA639F" w:rsidRDefault="00EE1AF3" w:rsidP="00FA639F">
            <w:pPr>
              <w:pStyle w:val="TableParagraph"/>
              <w:spacing w:before="0"/>
              <w:ind w:left="27" w:right="1"/>
              <w:rPr>
                <w:sz w:val="20"/>
                <w:szCs w:val="20"/>
              </w:rPr>
            </w:pPr>
            <w:r w:rsidRPr="00FA639F">
              <w:rPr>
                <w:color w:val="252525"/>
                <w:sz w:val="20"/>
                <w:szCs w:val="20"/>
              </w:rPr>
              <w:t xml:space="preserve">12.5-18 </w:t>
            </w:r>
            <w:r w:rsidRPr="00FA639F">
              <w:rPr>
                <w:color w:val="252525"/>
                <w:spacing w:val="-4"/>
                <w:sz w:val="20"/>
                <w:szCs w:val="20"/>
              </w:rPr>
              <w:t>g/dl</w:t>
            </w:r>
          </w:p>
        </w:tc>
      </w:tr>
      <w:tr w:rsidR="00404DB8" w:rsidRPr="00FA639F" w14:paraId="04775FD8" w14:textId="77777777" w:rsidTr="00FA639F">
        <w:trPr>
          <w:trHeight w:val="62"/>
        </w:trPr>
        <w:tc>
          <w:tcPr>
            <w:tcW w:w="1448" w:type="dxa"/>
            <w:tcBorders>
              <w:top w:val="single" w:sz="6" w:space="0" w:color="000000"/>
              <w:bottom w:val="single" w:sz="6" w:space="0" w:color="000000"/>
            </w:tcBorders>
          </w:tcPr>
          <w:p w14:paraId="716D0110" w14:textId="77777777" w:rsidR="00404DB8" w:rsidRPr="00FA639F" w:rsidRDefault="00EE1AF3" w:rsidP="00FA639F">
            <w:pPr>
              <w:pStyle w:val="TableParagraph"/>
              <w:spacing w:before="0"/>
              <w:jc w:val="left"/>
              <w:rPr>
                <w:sz w:val="20"/>
                <w:szCs w:val="20"/>
              </w:rPr>
            </w:pPr>
            <w:r w:rsidRPr="00FA639F">
              <w:rPr>
                <w:color w:val="252525"/>
                <w:spacing w:val="-2"/>
                <w:sz w:val="20"/>
                <w:szCs w:val="20"/>
              </w:rPr>
              <w:t>Leukocyte</w:t>
            </w:r>
          </w:p>
        </w:tc>
        <w:tc>
          <w:tcPr>
            <w:tcW w:w="1210" w:type="dxa"/>
            <w:tcBorders>
              <w:top w:val="single" w:sz="6" w:space="0" w:color="000000"/>
              <w:bottom w:val="single" w:sz="6" w:space="0" w:color="000000"/>
            </w:tcBorders>
          </w:tcPr>
          <w:p w14:paraId="7DCEC8C8" w14:textId="77777777" w:rsidR="00404DB8" w:rsidRPr="00FA639F" w:rsidRDefault="00EE1AF3" w:rsidP="00FA639F">
            <w:pPr>
              <w:pStyle w:val="TableParagraph"/>
              <w:spacing w:before="0"/>
              <w:ind w:left="0" w:right="10"/>
              <w:rPr>
                <w:sz w:val="20"/>
                <w:szCs w:val="20"/>
              </w:rPr>
            </w:pPr>
            <w:r w:rsidRPr="00FA639F">
              <w:rPr>
                <w:spacing w:val="-4"/>
                <w:sz w:val="20"/>
                <w:szCs w:val="20"/>
              </w:rPr>
              <w:t>9440</w:t>
            </w:r>
          </w:p>
        </w:tc>
        <w:tc>
          <w:tcPr>
            <w:tcW w:w="1586" w:type="dxa"/>
            <w:tcBorders>
              <w:top w:val="single" w:sz="6" w:space="0" w:color="000000"/>
              <w:bottom w:val="single" w:sz="6" w:space="0" w:color="000000"/>
            </w:tcBorders>
          </w:tcPr>
          <w:p w14:paraId="00F9A68F" w14:textId="77777777" w:rsidR="00404DB8" w:rsidRPr="00FA639F" w:rsidRDefault="00EE1AF3" w:rsidP="00FA639F">
            <w:pPr>
              <w:pStyle w:val="TableParagraph"/>
              <w:spacing w:before="0"/>
              <w:ind w:left="27"/>
              <w:rPr>
                <w:sz w:val="20"/>
                <w:szCs w:val="20"/>
              </w:rPr>
            </w:pPr>
            <w:r w:rsidRPr="00FA639F">
              <w:rPr>
                <w:color w:val="252525"/>
                <w:sz w:val="20"/>
                <w:szCs w:val="20"/>
              </w:rPr>
              <w:t>4000-</w:t>
            </w:r>
            <w:r w:rsidRPr="00FA639F">
              <w:rPr>
                <w:color w:val="252525"/>
                <w:spacing w:val="-2"/>
                <w:sz w:val="20"/>
                <w:szCs w:val="20"/>
              </w:rPr>
              <w:t>11000</w:t>
            </w:r>
          </w:p>
        </w:tc>
      </w:tr>
      <w:tr w:rsidR="00404DB8" w:rsidRPr="00FA639F" w14:paraId="6574025D" w14:textId="77777777" w:rsidTr="00FA639F">
        <w:trPr>
          <w:trHeight w:val="62"/>
        </w:trPr>
        <w:tc>
          <w:tcPr>
            <w:tcW w:w="1448" w:type="dxa"/>
            <w:tcBorders>
              <w:top w:val="single" w:sz="6" w:space="0" w:color="000000"/>
              <w:bottom w:val="single" w:sz="6" w:space="0" w:color="000000"/>
            </w:tcBorders>
          </w:tcPr>
          <w:p w14:paraId="72A4952B" w14:textId="77777777" w:rsidR="00404DB8" w:rsidRPr="00FA639F" w:rsidRDefault="00EE1AF3" w:rsidP="00FA639F">
            <w:pPr>
              <w:pStyle w:val="TableParagraph"/>
              <w:spacing w:before="0"/>
              <w:jc w:val="left"/>
              <w:rPr>
                <w:sz w:val="20"/>
                <w:szCs w:val="20"/>
              </w:rPr>
            </w:pPr>
            <w:r w:rsidRPr="00FA639F">
              <w:rPr>
                <w:color w:val="252525"/>
                <w:spacing w:val="-2"/>
                <w:sz w:val="20"/>
                <w:szCs w:val="20"/>
              </w:rPr>
              <w:t>Haematocrit</w:t>
            </w:r>
          </w:p>
        </w:tc>
        <w:tc>
          <w:tcPr>
            <w:tcW w:w="1210" w:type="dxa"/>
            <w:tcBorders>
              <w:top w:val="single" w:sz="6" w:space="0" w:color="000000"/>
              <w:bottom w:val="single" w:sz="6" w:space="0" w:color="000000"/>
            </w:tcBorders>
          </w:tcPr>
          <w:p w14:paraId="2EFB84B2" w14:textId="77777777" w:rsidR="00404DB8" w:rsidRPr="00FA639F" w:rsidRDefault="00EE1AF3" w:rsidP="00FA639F">
            <w:pPr>
              <w:pStyle w:val="TableParagraph"/>
              <w:spacing w:before="0"/>
              <w:ind w:left="2" w:right="10"/>
              <w:rPr>
                <w:sz w:val="20"/>
                <w:szCs w:val="20"/>
              </w:rPr>
            </w:pPr>
            <w:r w:rsidRPr="00FA639F">
              <w:rPr>
                <w:sz w:val="20"/>
                <w:szCs w:val="20"/>
              </w:rPr>
              <w:t xml:space="preserve">44 </w:t>
            </w:r>
            <w:r w:rsidRPr="00FA639F">
              <w:rPr>
                <w:spacing w:val="-10"/>
                <w:sz w:val="20"/>
                <w:szCs w:val="20"/>
              </w:rPr>
              <w:t>%</w:t>
            </w:r>
          </w:p>
        </w:tc>
        <w:tc>
          <w:tcPr>
            <w:tcW w:w="1586" w:type="dxa"/>
            <w:tcBorders>
              <w:top w:val="single" w:sz="6" w:space="0" w:color="000000"/>
              <w:bottom w:val="single" w:sz="6" w:space="0" w:color="000000"/>
            </w:tcBorders>
          </w:tcPr>
          <w:p w14:paraId="021E74D0" w14:textId="77777777" w:rsidR="00404DB8" w:rsidRPr="00FA639F" w:rsidRDefault="00EE1AF3" w:rsidP="00FA639F">
            <w:pPr>
              <w:pStyle w:val="TableParagraph"/>
              <w:spacing w:before="0"/>
              <w:ind w:left="27" w:right="1"/>
              <w:rPr>
                <w:sz w:val="20"/>
                <w:szCs w:val="20"/>
              </w:rPr>
            </w:pPr>
            <w:r w:rsidRPr="00FA639F">
              <w:rPr>
                <w:color w:val="252525"/>
                <w:sz w:val="20"/>
                <w:szCs w:val="20"/>
              </w:rPr>
              <w:t xml:space="preserve">40-50 </w:t>
            </w:r>
            <w:r w:rsidRPr="00FA639F">
              <w:rPr>
                <w:color w:val="252525"/>
                <w:spacing w:val="-10"/>
                <w:sz w:val="20"/>
                <w:szCs w:val="20"/>
              </w:rPr>
              <w:t>%</w:t>
            </w:r>
          </w:p>
        </w:tc>
      </w:tr>
      <w:tr w:rsidR="00404DB8" w:rsidRPr="00FA639F" w14:paraId="7A4D39F9" w14:textId="77777777">
        <w:trPr>
          <w:trHeight w:val="285"/>
        </w:trPr>
        <w:tc>
          <w:tcPr>
            <w:tcW w:w="1448" w:type="dxa"/>
            <w:tcBorders>
              <w:top w:val="single" w:sz="6" w:space="0" w:color="000000"/>
            </w:tcBorders>
          </w:tcPr>
          <w:p w14:paraId="2E8B8979" w14:textId="77777777" w:rsidR="00404DB8" w:rsidRPr="00FA639F" w:rsidRDefault="00EE1AF3" w:rsidP="00FA639F">
            <w:pPr>
              <w:pStyle w:val="TableParagraph"/>
              <w:spacing w:before="0"/>
              <w:jc w:val="left"/>
              <w:rPr>
                <w:sz w:val="20"/>
                <w:szCs w:val="20"/>
              </w:rPr>
            </w:pPr>
            <w:r w:rsidRPr="00FA639F">
              <w:rPr>
                <w:color w:val="252525"/>
                <w:spacing w:val="-2"/>
                <w:sz w:val="20"/>
                <w:szCs w:val="20"/>
              </w:rPr>
              <w:t>Trombocyte</w:t>
            </w:r>
          </w:p>
        </w:tc>
        <w:tc>
          <w:tcPr>
            <w:tcW w:w="1210" w:type="dxa"/>
            <w:tcBorders>
              <w:top w:val="single" w:sz="6" w:space="0" w:color="000000"/>
            </w:tcBorders>
          </w:tcPr>
          <w:p w14:paraId="3A25AFB7" w14:textId="77777777" w:rsidR="00404DB8" w:rsidRPr="00FA639F" w:rsidRDefault="00EE1AF3" w:rsidP="00FA639F">
            <w:pPr>
              <w:pStyle w:val="TableParagraph"/>
              <w:spacing w:before="0"/>
              <w:ind w:left="0" w:right="10"/>
              <w:rPr>
                <w:sz w:val="20"/>
                <w:szCs w:val="20"/>
              </w:rPr>
            </w:pPr>
            <w:r w:rsidRPr="00FA639F">
              <w:rPr>
                <w:spacing w:val="-2"/>
                <w:sz w:val="20"/>
                <w:szCs w:val="20"/>
              </w:rPr>
              <w:t>276000</w:t>
            </w:r>
          </w:p>
        </w:tc>
        <w:tc>
          <w:tcPr>
            <w:tcW w:w="1586" w:type="dxa"/>
            <w:tcBorders>
              <w:top w:val="single" w:sz="6" w:space="0" w:color="000000"/>
            </w:tcBorders>
          </w:tcPr>
          <w:p w14:paraId="52D2C144" w14:textId="77777777" w:rsidR="00404DB8" w:rsidRPr="00FA639F" w:rsidRDefault="00EE1AF3" w:rsidP="00FA639F">
            <w:pPr>
              <w:pStyle w:val="TableParagraph"/>
              <w:spacing w:before="0"/>
              <w:ind w:left="27"/>
              <w:rPr>
                <w:sz w:val="20"/>
                <w:szCs w:val="20"/>
              </w:rPr>
            </w:pPr>
            <w:r w:rsidRPr="00FA639F">
              <w:rPr>
                <w:color w:val="252525"/>
                <w:spacing w:val="-2"/>
                <w:sz w:val="20"/>
                <w:szCs w:val="20"/>
              </w:rPr>
              <w:t>150000-</w:t>
            </w:r>
          </w:p>
        </w:tc>
      </w:tr>
      <w:tr w:rsidR="00404DB8" w:rsidRPr="00FA639F" w14:paraId="21AC58D4" w14:textId="77777777" w:rsidTr="00FA639F">
        <w:trPr>
          <w:trHeight w:val="77"/>
        </w:trPr>
        <w:tc>
          <w:tcPr>
            <w:tcW w:w="1448" w:type="dxa"/>
            <w:tcBorders>
              <w:bottom w:val="single" w:sz="6" w:space="0" w:color="000000"/>
            </w:tcBorders>
          </w:tcPr>
          <w:p w14:paraId="7FB5F15A" w14:textId="77777777" w:rsidR="00404DB8" w:rsidRPr="00FA639F" w:rsidRDefault="00404DB8" w:rsidP="00FA639F">
            <w:pPr>
              <w:pStyle w:val="TableParagraph"/>
              <w:spacing w:before="0"/>
              <w:ind w:left="0"/>
              <w:jc w:val="left"/>
              <w:rPr>
                <w:sz w:val="20"/>
                <w:szCs w:val="20"/>
              </w:rPr>
            </w:pPr>
          </w:p>
        </w:tc>
        <w:tc>
          <w:tcPr>
            <w:tcW w:w="1210" w:type="dxa"/>
            <w:tcBorders>
              <w:bottom w:val="single" w:sz="6" w:space="0" w:color="000000"/>
            </w:tcBorders>
          </w:tcPr>
          <w:p w14:paraId="01F8F91E" w14:textId="77777777" w:rsidR="00404DB8" w:rsidRPr="00FA639F" w:rsidRDefault="00404DB8" w:rsidP="00FA639F">
            <w:pPr>
              <w:pStyle w:val="TableParagraph"/>
              <w:spacing w:before="0"/>
              <w:ind w:left="0"/>
              <w:jc w:val="left"/>
              <w:rPr>
                <w:sz w:val="20"/>
                <w:szCs w:val="20"/>
              </w:rPr>
            </w:pPr>
          </w:p>
        </w:tc>
        <w:tc>
          <w:tcPr>
            <w:tcW w:w="1586" w:type="dxa"/>
            <w:tcBorders>
              <w:bottom w:val="single" w:sz="6" w:space="0" w:color="000000"/>
            </w:tcBorders>
          </w:tcPr>
          <w:p w14:paraId="4779AB45" w14:textId="77777777" w:rsidR="00404DB8" w:rsidRPr="00FA639F" w:rsidRDefault="00EE1AF3" w:rsidP="00FA639F">
            <w:pPr>
              <w:pStyle w:val="TableParagraph"/>
              <w:spacing w:before="0"/>
              <w:ind w:left="27"/>
              <w:rPr>
                <w:sz w:val="20"/>
                <w:szCs w:val="20"/>
              </w:rPr>
            </w:pPr>
            <w:r w:rsidRPr="00FA639F">
              <w:rPr>
                <w:color w:val="252525"/>
                <w:spacing w:val="-2"/>
                <w:sz w:val="20"/>
                <w:szCs w:val="20"/>
              </w:rPr>
              <w:t>400000</w:t>
            </w:r>
          </w:p>
        </w:tc>
      </w:tr>
      <w:tr w:rsidR="00404DB8" w:rsidRPr="00FA639F" w14:paraId="2C730E23" w14:textId="77777777">
        <w:trPr>
          <w:trHeight w:val="525"/>
        </w:trPr>
        <w:tc>
          <w:tcPr>
            <w:tcW w:w="1448" w:type="dxa"/>
            <w:tcBorders>
              <w:top w:val="single" w:sz="6" w:space="0" w:color="000000"/>
              <w:bottom w:val="single" w:sz="6" w:space="0" w:color="000000"/>
            </w:tcBorders>
          </w:tcPr>
          <w:p w14:paraId="6BD87090" w14:textId="77777777" w:rsidR="00404DB8" w:rsidRPr="00FA639F" w:rsidRDefault="00EE1AF3" w:rsidP="00FA639F">
            <w:pPr>
              <w:pStyle w:val="TableParagraph"/>
              <w:spacing w:before="0"/>
              <w:ind w:right="309"/>
              <w:jc w:val="left"/>
              <w:rPr>
                <w:sz w:val="20"/>
                <w:szCs w:val="20"/>
              </w:rPr>
            </w:pPr>
            <w:r w:rsidRPr="00FA639F">
              <w:rPr>
                <w:color w:val="252525"/>
                <w:spacing w:val="-2"/>
                <w:sz w:val="20"/>
                <w:szCs w:val="20"/>
              </w:rPr>
              <w:t xml:space="preserve">Random </w:t>
            </w:r>
            <w:r w:rsidRPr="00FA639F">
              <w:rPr>
                <w:color w:val="252525"/>
                <w:sz w:val="20"/>
                <w:szCs w:val="20"/>
              </w:rPr>
              <w:t>blood</w:t>
            </w:r>
            <w:r w:rsidRPr="00FA639F">
              <w:rPr>
                <w:color w:val="252525"/>
                <w:spacing w:val="-14"/>
                <w:sz w:val="20"/>
                <w:szCs w:val="20"/>
              </w:rPr>
              <w:t xml:space="preserve"> </w:t>
            </w:r>
            <w:r w:rsidRPr="00FA639F">
              <w:rPr>
                <w:color w:val="252525"/>
                <w:sz w:val="20"/>
                <w:szCs w:val="20"/>
              </w:rPr>
              <w:t>sugar</w:t>
            </w:r>
          </w:p>
        </w:tc>
        <w:tc>
          <w:tcPr>
            <w:tcW w:w="1210" w:type="dxa"/>
            <w:tcBorders>
              <w:top w:val="single" w:sz="6" w:space="0" w:color="000000"/>
              <w:bottom w:val="single" w:sz="6" w:space="0" w:color="000000"/>
            </w:tcBorders>
          </w:tcPr>
          <w:p w14:paraId="69634350" w14:textId="77777777" w:rsidR="00404DB8" w:rsidRPr="00FA639F" w:rsidRDefault="00EE1AF3" w:rsidP="00FA639F">
            <w:pPr>
              <w:pStyle w:val="TableParagraph"/>
              <w:spacing w:before="0"/>
              <w:ind w:left="1" w:right="10"/>
              <w:rPr>
                <w:sz w:val="20"/>
                <w:szCs w:val="20"/>
              </w:rPr>
            </w:pPr>
            <w:r w:rsidRPr="00FA639F">
              <w:rPr>
                <w:color w:val="252525"/>
                <w:sz w:val="20"/>
                <w:szCs w:val="20"/>
              </w:rPr>
              <w:t xml:space="preserve">135 </w:t>
            </w:r>
            <w:r w:rsidRPr="00FA639F">
              <w:rPr>
                <w:color w:val="252525"/>
                <w:spacing w:val="-2"/>
                <w:sz w:val="20"/>
                <w:szCs w:val="20"/>
              </w:rPr>
              <w:t>mg/dl</w:t>
            </w:r>
          </w:p>
        </w:tc>
        <w:tc>
          <w:tcPr>
            <w:tcW w:w="1586" w:type="dxa"/>
            <w:tcBorders>
              <w:top w:val="single" w:sz="6" w:space="0" w:color="000000"/>
              <w:bottom w:val="single" w:sz="6" w:space="0" w:color="000000"/>
            </w:tcBorders>
          </w:tcPr>
          <w:p w14:paraId="201A4FC5" w14:textId="77777777" w:rsidR="00404DB8" w:rsidRPr="00FA639F" w:rsidRDefault="00EE1AF3" w:rsidP="00FA639F">
            <w:pPr>
              <w:pStyle w:val="TableParagraph"/>
              <w:spacing w:before="0"/>
              <w:ind w:left="27" w:right="1"/>
              <w:rPr>
                <w:sz w:val="20"/>
                <w:szCs w:val="20"/>
              </w:rPr>
            </w:pPr>
            <w:r w:rsidRPr="00FA639F">
              <w:rPr>
                <w:color w:val="252525"/>
                <w:sz w:val="20"/>
                <w:szCs w:val="20"/>
              </w:rPr>
              <w:t xml:space="preserve">80-200 </w:t>
            </w:r>
            <w:r w:rsidRPr="00FA639F">
              <w:rPr>
                <w:color w:val="252525"/>
                <w:spacing w:val="-2"/>
                <w:sz w:val="20"/>
                <w:szCs w:val="20"/>
              </w:rPr>
              <w:t>mg/dl</w:t>
            </w:r>
          </w:p>
        </w:tc>
      </w:tr>
      <w:tr w:rsidR="00404DB8" w:rsidRPr="00FA639F" w14:paraId="7DDE3991" w14:textId="77777777" w:rsidTr="00FA639F">
        <w:trPr>
          <w:trHeight w:val="62"/>
        </w:trPr>
        <w:tc>
          <w:tcPr>
            <w:tcW w:w="1448" w:type="dxa"/>
            <w:tcBorders>
              <w:top w:val="single" w:sz="6" w:space="0" w:color="000000"/>
              <w:bottom w:val="single" w:sz="6" w:space="0" w:color="000000"/>
            </w:tcBorders>
          </w:tcPr>
          <w:p w14:paraId="54F218D3" w14:textId="77777777" w:rsidR="00404DB8" w:rsidRPr="00FA639F" w:rsidRDefault="00EE1AF3" w:rsidP="00FA639F">
            <w:pPr>
              <w:pStyle w:val="TableParagraph"/>
              <w:spacing w:before="0"/>
              <w:jc w:val="left"/>
              <w:rPr>
                <w:sz w:val="20"/>
                <w:szCs w:val="20"/>
              </w:rPr>
            </w:pPr>
            <w:r w:rsidRPr="00FA639F">
              <w:rPr>
                <w:color w:val="252525"/>
                <w:spacing w:val="-2"/>
                <w:sz w:val="20"/>
                <w:szCs w:val="20"/>
              </w:rPr>
              <w:t>Ureum</w:t>
            </w:r>
          </w:p>
        </w:tc>
        <w:tc>
          <w:tcPr>
            <w:tcW w:w="1210" w:type="dxa"/>
            <w:tcBorders>
              <w:top w:val="single" w:sz="6" w:space="0" w:color="000000"/>
              <w:bottom w:val="single" w:sz="6" w:space="0" w:color="000000"/>
            </w:tcBorders>
          </w:tcPr>
          <w:p w14:paraId="66AF34C3" w14:textId="77777777" w:rsidR="00404DB8" w:rsidRPr="00FA639F" w:rsidRDefault="00EE1AF3" w:rsidP="00FA639F">
            <w:pPr>
              <w:pStyle w:val="TableParagraph"/>
              <w:spacing w:before="0"/>
              <w:ind w:left="0" w:right="10"/>
              <w:rPr>
                <w:sz w:val="20"/>
                <w:szCs w:val="20"/>
              </w:rPr>
            </w:pPr>
            <w:r w:rsidRPr="00FA639F">
              <w:rPr>
                <w:color w:val="252525"/>
                <w:spacing w:val="-5"/>
                <w:sz w:val="20"/>
                <w:szCs w:val="20"/>
              </w:rPr>
              <w:t>37</w:t>
            </w:r>
          </w:p>
        </w:tc>
        <w:tc>
          <w:tcPr>
            <w:tcW w:w="1586" w:type="dxa"/>
            <w:tcBorders>
              <w:top w:val="single" w:sz="6" w:space="0" w:color="000000"/>
              <w:bottom w:val="single" w:sz="6" w:space="0" w:color="000000"/>
            </w:tcBorders>
          </w:tcPr>
          <w:p w14:paraId="6A87FC12" w14:textId="77777777" w:rsidR="00404DB8" w:rsidRPr="00FA639F" w:rsidRDefault="00EE1AF3" w:rsidP="00FA639F">
            <w:pPr>
              <w:pStyle w:val="TableParagraph"/>
              <w:spacing w:before="0"/>
              <w:ind w:left="27" w:right="1"/>
              <w:rPr>
                <w:sz w:val="20"/>
                <w:szCs w:val="20"/>
              </w:rPr>
            </w:pPr>
            <w:r w:rsidRPr="00FA639F">
              <w:rPr>
                <w:color w:val="252525"/>
                <w:sz w:val="20"/>
                <w:szCs w:val="20"/>
              </w:rPr>
              <w:t xml:space="preserve">15-45 </w:t>
            </w:r>
            <w:r w:rsidRPr="00FA639F">
              <w:rPr>
                <w:color w:val="252525"/>
                <w:spacing w:val="-2"/>
                <w:sz w:val="20"/>
                <w:szCs w:val="20"/>
              </w:rPr>
              <w:t>mg/dl</w:t>
            </w:r>
          </w:p>
        </w:tc>
      </w:tr>
      <w:tr w:rsidR="00404DB8" w:rsidRPr="00FA639F" w14:paraId="79B0573E" w14:textId="77777777" w:rsidTr="00FA639F">
        <w:trPr>
          <w:trHeight w:val="62"/>
        </w:trPr>
        <w:tc>
          <w:tcPr>
            <w:tcW w:w="1448" w:type="dxa"/>
            <w:tcBorders>
              <w:top w:val="single" w:sz="6" w:space="0" w:color="000000"/>
              <w:bottom w:val="single" w:sz="6" w:space="0" w:color="000000"/>
            </w:tcBorders>
          </w:tcPr>
          <w:p w14:paraId="5153799E" w14:textId="77777777" w:rsidR="00404DB8" w:rsidRPr="00FA639F" w:rsidRDefault="00EE1AF3" w:rsidP="00FA639F">
            <w:pPr>
              <w:pStyle w:val="TableParagraph"/>
              <w:spacing w:before="0"/>
              <w:jc w:val="left"/>
              <w:rPr>
                <w:sz w:val="20"/>
                <w:szCs w:val="20"/>
              </w:rPr>
            </w:pPr>
            <w:r w:rsidRPr="00FA639F">
              <w:rPr>
                <w:color w:val="252525"/>
                <w:spacing w:val="-2"/>
                <w:sz w:val="20"/>
                <w:szCs w:val="20"/>
              </w:rPr>
              <w:t>Creatinine</w:t>
            </w:r>
          </w:p>
        </w:tc>
        <w:tc>
          <w:tcPr>
            <w:tcW w:w="1210" w:type="dxa"/>
            <w:tcBorders>
              <w:top w:val="single" w:sz="6" w:space="0" w:color="000000"/>
              <w:bottom w:val="single" w:sz="6" w:space="0" w:color="000000"/>
            </w:tcBorders>
          </w:tcPr>
          <w:p w14:paraId="0A6D8BAD" w14:textId="77777777" w:rsidR="00404DB8" w:rsidRPr="00FA639F" w:rsidRDefault="00EE1AF3" w:rsidP="00FA639F">
            <w:pPr>
              <w:pStyle w:val="TableParagraph"/>
              <w:spacing w:before="0"/>
              <w:ind w:left="177"/>
              <w:jc w:val="left"/>
              <w:rPr>
                <w:sz w:val="20"/>
                <w:szCs w:val="20"/>
              </w:rPr>
            </w:pPr>
            <w:r w:rsidRPr="00FA639F">
              <w:rPr>
                <w:sz w:val="20"/>
                <w:szCs w:val="20"/>
              </w:rPr>
              <w:t xml:space="preserve">0.8 </w:t>
            </w:r>
            <w:r w:rsidRPr="00FA639F">
              <w:rPr>
                <w:spacing w:val="-2"/>
                <w:sz w:val="20"/>
                <w:szCs w:val="20"/>
              </w:rPr>
              <w:t>mg/dl</w:t>
            </w:r>
          </w:p>
        </w:tc>
        <w:tc>
          <w:tcPr>
            <w:tcW w:w="1586" w:type="dxa"/>
            <w:tcBorders>
              <w:top w:val="single" w:sz="6" w:space="0" w:color="000000"/>
              <w:bottom w:val="single" w:sz="6" w:space="0" w:color="000000"/>
            </w:tcBorders>
          </w:tcPr>
          <w:p w14:paraId="27942731" w14:textId="77777777" w:rsidR="00404DB8" w:rsidRPr="00FA639F" w:rsidRDefault="00EE1AF3" w:rsidP="00FA639F">
            <w:pPr>
              <w:pStyle w:val="TableParagraph"/>
              <w:spacing w:before="0"/>
              <w:ind w:left="27" w:right="1"/>
              <w:rPr>
                <w:sz w:val="20"/>
                <w:szCs w:val="20"/>
              </w:rPr>
            </w:pPr>
            <w:r w:rsidRPr="00FA639F">
              <w:rPr>
                <w:sz w:val="20"/>
                <w:szCs w:val="20"/>
              </w:rPr>
              <w:t xml:space="preserve">0.6-1.3 </w:t>
            </w:r>
            <w:r w:rsidRPr="00FA639F">
              <w:rPr>
                <w:spacing w:val="-2"/>
                <w:sz w:val="20"/>
                <w:szCs w:val="20"/>
              </w:rPr>
              <w:t>mg/dl</w:t>
            </w:r>
          </w:p>
        </w:tc>
      </w:tr>
      <w:tr w:rsidR="00404DB8" w:rsidRPr="00FA639F" w14:paraId="34690DAC" w14:textId="77777777" w:rsidTr="00FA639F">
        <w:trPr>
          <w:trHeight w:val="62"/>
        </w:trPr>
        <w:tc>
          <w:tcPr>
            <w:tcW w:w="1448" w:type="dxa"/>
            <w:tcBorders>
              <w:top w:val="single" w:sz="6" w:space="0" w:color="000000"/>
              <w:bottom w:val="single" w:sz="6" w:space="0" w:color="000000"/>
            </w:tcBorders>
          </w:tcPr>
          <w:p w14:paraId="7D0FDA8F" w14:textId="77777777" w:rsidR="00404DB8" w:rsidRPr="00FA639F" w:rsidRDefault="00EE1AF3" w:rsidP="00FA639F">
            <w:pPr>
              <w:pStyle w:val="TableParagraph"/>
              <w:spacing w:before="0"/>
              <w:jc w:val="left"/>
              <w:rPr>
                <w:sz w:val="20"/>
                <w:szCs w:val="20"/>
              </w:rPr>
            </w:pPr>
            <w:r w:rsidRPr="00FA639F">
              <w:rPr>
                <w:color w:val="252525"/>
                <w:spacing w:val="-4"/>
                <w:sz w:val="20"/>
                <w:szCs w:val="20"/>
              </w:rPr>
              <w:t>SGOT</w:t>
            </w:r>
          </w:p>
        </w:tc>
        <w:tc>
          <w:tcPr>
            <w:tcW w:w="1210" w:type="dxa"/>
            <w:tcBorders>
              <w:top w:val="single" w:sz="6" w:space="0" w:color="000000"/>
              <w:bottom w:val="single" w:sz="6" w:space="0" w:color="000000"/>
            </w:tcBorders>
          </w:tcPr>
          <w:p w14:paraId="644095A9" w14:textId="77777777" w:rsidR="00404DB8" w:rsidRPr="00FA639F" w:rsidRDefault="00EE1AF3" w:rsidP="00FA639F">
            <w:pPr>
              <w:pStyle w:val="TableParagraph"/>
              <w:spacing w:before="0"/>
              <w:ind w:left="0" w:right="10"/>
              <w:rPr>
                <w:sz w:val="20"/>
                <w:szCs w:val="20"/>
              </w:rPr>
            </w:pPr>
            <w:r w:rsidRPr="00FA639F">
              <w:rPr>
                <w:color w:val="252525"/>
                <w:spacing w:val="-5"/>
                <w:sz w:val="20"/>
                <w:szCs w:val="20"/>
              </w:rPr>
              <w:t>43</w:t>
            </w:r>
          </w:p>
        </w:tc>
        <w:tc>
          <w:tcPr>
            <w:tcW w:w="1586" w:type="dxa"/>
            <w:tcBorders>
              <w:top w:val="single" w:sz="6" w:space="0" w:color="000000"/>
              <w:bottom w:val="single" w:sz="6" w:space="0" w:color="000000"/>
            </w:tcBorders>
          </w:tcPr>
          <w:p w14:paraId="1CBA5C06" w14:textId="77777777" w:rsidR="00404DB8" w:rsidRPr="00FA639F" w:rsidRDefault="00EE1AF3" w:rsidP="00FA639F">
            <w:pPr>
              <w:pStyle w:val="TableParagraph"/>
              <w:spacing w:before="0"/>
              <w:ind w:left="27" w:right="1"/>
              <w:rPr>
                <w:sz w:val="20"/>
                <w:szCs w:val="20"/>
              </w:rPr>
            </w:pPr>
            <w:r w:rsidRPr="00FA639F">
              <w:rPr>
                <w:color w:val="252525"/>
                <w:sz w:val="20"/>
                <w:szCs w:val="20"/>
              </w:rPr>
              <w:t xml:space="preserve">0-37 </w:t>
            </w:r>
            <w:r w:rsidRPr="00FA639F">
              <w:rPr>
                <w:color w:val="252525"/>
                <w:spacing w:val="-5"/>
                <w:sz w:val="20"/>
                <w:szCs w:val="20"/>
              </w:rPr>
              <w:t>U/L</w:t>
            </w:r>
          </w:p>
        </w:tc>
      </w:tr>
      <w:tr w:rsidR="00404DB8" w:rsidRPr="00FA639F" w14:paraId="39928956" w14:textId="77777777" w:rsidTr="00FA639F">
        <w:trPr>
          <w:trHeight w:val="62"/>
        </w:trPr>
        <w:tc>
          <w:tcPr>
            <w:tcW w:w="1448" w:type="dxa"/>
            <w:tcBorders>
              <w:top w:val="single" w:sz="6" w:space="0" w:color="000000"/>
              <w:bottom w:val="single" w:sz="6" w:space="0" w:color="000000"/>
            </w:tcBorders>
          </w:tcPr>
          <w:p w14:paraId="3D3E61DE" w14:textId="77777777" w:rsidR="00404DB8" w:rsidRPr="00FA639F" w:rsidRDefault="00EE1AF3" w:rsidP="00FA639F">
            <w:pPr>
              <w:pStyle w:val="TableParagraph"/>
              <w:spacing w:before="0"/>
              <w:jc w:val="left"/>
              <w:rPr>
                <w:sz w:val="20"/>
                <w:szCs w:val="20"/>
              </w:rPr>
            </w:pPr>
            <w:r w:rsidRPr="00FA639F">
              <w:rPr>
                <w:color w:val="252525"/>
                <w:spacing w:val="-4"/>
                <w:sz w:val="20"/>
                <w:szCs w:val="20"/>
              </w:rPr>
              <w:t>SGPT</w:t>
            </w:r>
          </w:p>
        </w:tc>
        <w:tc>
          <w:tcPr>
            <w:tcW w:w="1210" w:type="dxa"/>
            <w:tcBorders>
              <w:top w:val="single" w:sz="6" w:space="0" w:color="000000"/>
              <w:bottom w:val="single" w:sz="6" w:space="0" w:color="000000"/>
            </w:tcBorders>
          </w:tcPr>
          <w:p w14:paraId="1D3D4815" w14:textId="77777777" w:rsidR="00404DB8" w:rsidRPr="00FA639F" w:rsidRDefault="00EE1AF3" w:rsidP="00FA639F">
            <w:pPr>
              <w:pStyle w:val="TableParagraph"/>
              <w:spacing w:before="0"/>
              <w:ind w:left="0" w:right="10"/>
              <w:rPr>
                <w:sz w:val="20"/>
                <w:szCs w:val="20"/>
              </w:rPr>
            </w:pPr>
            <w:r w:rsidRPr="00FA639F">
              <w:rPr>
                <w:color w:val="252525"/>
                <w:spacing w:val="-5"/>
                <w:sz w:val="20"/>
                <w:szCs w:val="20"/>
              </w:rPr>
              <w:t>37</w:t>
            </w:r>
          </w:p>
        </w:tc>
        <w:tc>
          <w:tcPr>
            <w:tcW w:w="1586" w:type="dxa"/>
            <w:tcBorders>
              <w:top w:val="single" w:sz="6" w:space="0" w:color="000000"/>
              <w:bottom w:val="single" w:sz="6" w:space="0" w:color="000000"/>
            </w:tcBorders>
          </w:tcPr>
          <w:p w14:paraId="53031D94" w14:textId="77777777" w:rsidR="00404DB8" w:rsidRPr="00FA639F" w:rsidRDefault="00EE1AF3" w:rsidP="00FA639F">
            <w:pPr>
              <w:pStyle w:val="TableParagraph"/>
              <w:spacing w:before="0"/>
              <w:ind w:left="27" w:right="1"/>
              <w:rPr>
                <w:sz w:val="20"/>
                <w:szCs w:val="20"/>
              </w:rPr>
            </w:pPr>
            <w:r w:rsidRPr="00FA639F">
              <w:rPr>
                <w:color w:val="252525"/>
                <w:sz w:val="20"/>
                <w:szCs w:val="20"/>
              </w:rPr>
              <w:t xml:space="preserve">0-42 </w:t>
            </w:r>
            <w:r w:rsidRPr="00FA639F">
              <w:rPr>
                <w:color w:val="252525"/>
                <w:spacing w:val="-5"/>
                <w:sz w:val="20"/>
                <w:szCs w:val="20"/>
              </w:rPr>
              <w:t>U/L</w:t>
            </w:r>
          </w:p>
        </w:tc>
      </w:tr>
      <w:tr w:rsidR="00404DB8" w:rsidRPr="00FA639F" w14:paraId="01D84E95" w14:textId="77777777" w:rsidTr="00FA639F">
        <w:trPr>
          <w:trHeight w:val="62"/>
        </w:trPr>
        <w:tc>
          <w:tcPr>
            <w:tcW w:w="1448" w:type="dxa"/>
            <w:tcBorders>
              <w:top w:val="single" w:sz="6" w:space="0" w:color="000000"/>
              <w:bottom w:val="single" w:sz="6" w:space="0" w:color="000000"/>
            </w:tcBorders>
          </w:tcPr>
          <w:p w14:paraId="45AB8886" w14:textId="77777777" w:rsidR="00404DB8" w:rsidRPr="00FA639F" w:rsidRDefault="00EE1AF3" w:rsidP="00FA639F">
            <w:pPr>
              <w:pStyle w:val="TableParagraph"/>
              <w:spacing w:before="0"/>
              <w:jc w:val="left"/>
              <w:rPr>
                <w:sz w:val="20"/>
                <w:szCs w:val="20"/>
              </w:rPr>
            </w:pPr>
            <w:r w:rsidRPr="00FA639F">
              <w:rPr>
                <w:color w:val="252525"/>
                <w:sz w:val="20"/>
                <w:szCs w:val="20"/>
              </w:rPr>
              <w:t>Natrium</w:t>
            </w:r>
            <w:r w:rsidRPr="00FA639F">
              <w:rPr>
                <w:color w:val="252525"/>
                <w:spacing w:val="-6"/>
                <w:sz w:val="20"/>
                <w:szCs w:val="20"/>
              </w:rPr>
              <w:t xml:space="preserve"> </w:t>
            </w:r>
            <w:r w:rsidRPr="00FA639F">
              <w:rPr>
                <w:color w:val="252525"/>
                <w:spacing w:val="-4"/>
                <w:sz w:val="20"/>
                <w:szCs w:val="20"/>
              </w:rPr>
              <w:t>(Na)</w:t>
            </w:r>
          </w:p>
        </w:tc>
        <w:tc>
          <w:tcPr>
            <w:tcW w:w="1210" w:type="dxa"/>
            <w:tcBorders>
              <w:top w:val="single" w:sz="6" w:space="0" w:color="000000"/>
              <w:bottom w:val="single" w:sz="6" w:space="0" w:color="000000"/>
            </w:tcBorders>
          </w:tcPr>
          <w:p w14:paraId="60A1662D" w14:textId="77777777" w:rsidR="00404DB8" w:rsidRPr="00FA639F" w:rsidRDefault="00EE1AF3" w:rsidP="00FA639F">
            <w:pPr>
              <w:pStyle w:val="TableParagraph"/>
              <w:spacing w:before="0"/>
              <w:ind w:left="0" w:right="10"/>
              <w:rPr>
                <w:sz w:val="20"/>
                <w:szCs w:val="20"/>
              </w:rPr>
            </w:pPr>
            <w:r w:rsidRPr="00FA639F">
              <w:rPr>
                <w:spacing w:val="-2"/>
                <w:sz w:val="20"/>
                <w:szCs w:val="20"/>
              </w:rPr>
              <w:t>133.1</w:t>
            </w:r>
          </w:p>
        </w:tc>
        <w:tc>
          <w:tcPr>
            <w:tcW w:w="1586" w:type="dxa"/>
            <w:tcBorders>
              <w:top w:val="single" w:sz="6" w:space="0" w:color="000000"/>
              <w:bottom w:val="single" w:sz="6" w:space="0" w:color="000000"/>
            </w:tcBorders>
          </w:tcPr>
          <w:p w14:paraId="2AD9C2F6" w14:textId="77777777" w:rsidR="00404DB8" w:rsidRPr="00FA639F" w:rsidRDefault="00EE1AF3" w:rsidP="00FA639F">
            <w:pPr>
              <w:pStyle w:val="TableParagraph"/>
              <w:spacing w:before="0"/>
              <w:ind w:left="439"/>
              <w:jc w:val="left"/>
              <w:rPr>
                <w:sz w:val="20"/>
                <w:szCs w:val="20"/>
              </w:rPr>
            </w:pPr>
            <w:r w:rsidRPr="00FA639F">
              <w:rPr>
                <w:color w:val="252525"/>
                <w:sz w:val="20"/>
                <w:szCs w:val="20"/>
              </w:rPr>
              <w:t>135-</w:t>
            </w:r>
            <w:r w:rsidRPr="00FA639F">
              <w:rPr>
                <w:color w:val="252525"/>
                <w:spacing w:val="-5"/>
                <w:sz w:val="20"/>
                <w:szCs w:val="20"/>
              </w:rPr>
              <w:t>145</w:t>
            </w:r>
          </w:p>
          <w:p w14:paraId="7F191F72" w14:textId="77777777" w:rsidR="00404DB8" w:rsidRPr="00FA639F" w:rsidRDefault="00EE1AF3" w:rsidP="00FA639F">
            <w:pPr>
              <w:pStyle w:val="TableParagraph"/>
              <w:spacing w:before="0"/>
              <w:ind w:left="501"/>
              <w:jc w:val="left"/>
              <w:rPr>
                <w:sz w:val="20"/>
                <w:szCs w:val="20"/>
              </w:rPr>
            </w:pPr>
            <w:r w:rsidRPr="00FA639F">
              <w:rPr>
                <w:color w:val="252525"/>
                <w:spacing w:val="-2"/>
                <w:sz w:val="20"/>
                <w:szCs w:val="20"/>
              </w:rPr>
              <w:t>mEq/L</w:t>
            </w:r>
          </w:p>
        </w:tc>
      </w:tr>
      <w:tr w:rsidR="00404DB8" w:rsidRPr="00FA639F" w14:paraId="2CAE955C" w14:textId="77777777" w:rsidTr="00FA639F">
        <w:trPr>
          <w:trHeight w:val="62"/>
        </w:trPr>
        <w:tc>
          <w:tcPr>
            <w:tcW w:w="1448" w:type="dxa"/>
            <w:tcBorders>
              <w:top w:val="single" w:sz="6" w:space="0" w:color="000000"/>
              <w:bottom w:val="single" w:sz="6" w:space="0" w:color="000000"/>
            </w:tcBorders>
          </w:tcPr>
          <w:p w14:paraId="624B4879" w14:textId="77777777" w:rsidR="00404DB8" w:rsidRPr="00FA639F" w:rsidRDefault="00EE1AF3" w:rsidP="00FA639F">
            <w:pPr>
              <w:pStyle w:val="TableParagraph"/>
              <w:spacing w:before="0"/>
              <w:jc w:val="left"/>
              <w:rPr>
                <w:sz w:val="20"/>
                <w:szCs w:val="20"/>
              </w:rPr>
            </w:pPr>
            <w:r w:rsidRPr="00FA639F">
              <w:rPr>
                <w:color w:val="252525"/>
                <w:sz w:val="20"/>
                <w:szCs w:val="20"/>
              </w:rPr>
              <w:t>Kalium</w:t>
            </w:r>
            <w:r w:rsidRPr="00FA639F">
              <w:rPr>
                <w:color w:val="252525"/>
                <w:spacing w:val="-5"/>
                <w:sz w:val="20"/>
                <w:szCs w:val="20"/>
              </w:rPr>
              <w:t xml:space="preserve"> (K)</w:t>
            </w:r>
          </w:p>
        </w:tc>
        <w:tc>
          <w:tcPr>
            <w:tcW w:w="1210" w:type="dxa"/>
            <w:tcBorders>
              <w:top w:val="single" w:sz="6" w:space="0" w:color="000000"/>
              <w:bottom w:val="single" w:sz="6" w:space="0" w:color="000000"/>
            </w:tcBorders>
          </w:tcPr>
          <w:p w14:paraId="7D283973" w14:textId="77777777" w:rsidR="00404DB8" w:rsidRPr="00FA639F" w:rsidRDefault="00EE1AF3" w:rsidP="00FA639F">
            <w:pPr>
              <w:pStyle w:val="TableParagraph"/>
              <w:spacing w:before="0"/>
              <w:ind w:left="0" w:right="10"/>
              <w:rPr>
                <w:sz w:val="20"/>
                <w:szCs w:val="20"/>
              </w:rPr>
            </w:pPr>
            <w:r w:rsidRPr="00FA639F">
              <w:rPr>
                <w:spacing w:val="-4"/>
                <w:sz w:val="20"/>
                <w:szCs w:val="20"/>
              </w:rPr>
              <w:t>4.74</w:t>
            </w:r>
          </w:p>
        </w:tc>
        <w:tc>
          <w:tcPr>
            <w:tcW w:w="1586" w:type="dxa"/>
            <w:tcBorders>
              <w:top w:val="single" w:sz="6" w:space="0" w:color="000000"/>
              <w:bottom w:val="single" w:sz="6" w:space="0" w:color="000000"/>
            </w:tcBorders>
          </w:tcPr>
          <w:p w14:paraId="0B30EC6A" w14:textId="77777777" w:rsidR="00404DB8" w:rsidRPr="00FA639F" w:rsidRDefault="00EE1AF3" w:rsidP="00FA639F">
            <w:pPr>
              <w:pStyle w:val="TableParagraph"/>
              <w:spacing w:before="0"/>
              <w:ind w:left="384"/>
              <w:jc w:val="left"/>
              <w:rPr>
                <w:sz w:val="20"/>
                <w:szCs w:val="20"/>
              </w:rPr>
            </w:pPr>
            <w:r w:rsidRPr="00FA639F">
              <w:rPr>
                <w:color w:val="252525"/>
                <w:sz w:val="20"/>
                <w:szCs w:val="20"/>
              </w:rPr>
              <w:t>3.50-</w:t>
            </w:r>
            <w:r w:rsidRPr="00FA639F">
              <w:rPr>
                <w:color w:val="252525"/>
                <w:spacing w:val="-4"/>
                <w:sz w:val="20"/>
                <w:szCs w:val="20"/>
              </w:rPr>
              <w:t>5.00</w:t>
            </w:r>
          </w:p>
          <w:p w14:paraId="6EEA46E4" w14:textId="77777777" w:rsidR="00404DB8" w:rsidRPr="00FA639F" w:rsidRDefault="00EE1AF3" w:rsidP="00FA639F">
            <w:pPr>
              <w:pStyle w:val="TableParagraph"/>
              <w:spacing w:before="0"/>
              <w:ind w:left="500"/>
              <w:jc w:val="left"/>
              <w:rPr>
                <w:sz w:val="20"/>
                <w:szCs w:val="20"/>
              </w:rPr>
            </w:pPr>
            <w:r w:rsidRPr="00FA639F">
              <w:rPr>
                <w:color w:val="252525"/>
                <w:spacing w:val="-2"/>
                <w:sz w:val="20"/>
                <w:szCs w:val="20"/>
              </w:rPr>
              <w:t>mEq/L</w:t>
            </w:r>
          </w:p>
        </w:tc>
      </w:tr>
      <w:tr w:rsidR="00404DB8" w:rsidRPr="00FA639F" w14:paraId="0140DD8F" w14:textId="77777777" w:rsidTr="00FA639F">
        <w:trPr>
          <w:trHeight w:val="62"/>
        </w:trPr>
        <w:tc>
          <w:tcPr>
            <w:tcW w:w="1448" w:type="dxa"/>
            <w:tcBorders>
              <w:top w:val="single" w:sz="6" w:space="0" w:color="000000"/>
              <w:bottom w:val="single" w:sz="6" w:space="0" w:color="000000"/>
            </w:tcBorders>
          </w:tcPr>
          <w:p w14:paraId="40A4C011" w14:textId="77777777" w:rsidR="00404DB8" w:rsidRPr="00FA639F" w:rsidRDefault="00EE1AF3" w:rsidP="00FA639F">
            <w:pPr>
              <w:pStyle w:val="TableParagraph"/>
              <w:spacing w:before="0"/>
              <w:jc w:val="left"/>
              <w:rPr>
                <w:sz w:val="20"/>
                <w:szCs w:val="20"/>
              </w:rPr>
            </w:pPr>
            <w:r w:rsidRPr="00FA639F">
              <w:rPr>
                <w:color w:val="252525"/>
                <w:sz w:val="20"/>
                <w:szCs w:val="20"/>
              </w:rPr>
              <w:t>Chloride</w:t>
            </w:r>
            <w:r w:rsidRPr="00FA639F">
              <w:rPr>
                <w:color w:val="252525"/>
                <w:spacing w:val="-8"/>
                <w:sz w:val="20"/>
                <w:szCs w:val="20"/>
              </w:rPr>
              <w:t xml:space="preserve"> </w:t>
            </w:r>
            <w:r w:rsidRPr="00FA639F">
              <w:rPr>
                <w:color w:val="252525"/>
                <w:spacing w:val="-4"/>
                <w:sz w:val="20"/>
                <w:szCs w:val="20"/>
              </w:rPr>
              <w:t>(Cl)</w:t>
            </w:r>
          </w:p>
        </w:tc>
        <w:tc>
          <w:tcPr>
            <w:tcW w:w="1210" w:type="dxa"/>
            <w:tcBorders>
              <w:top w:val="single" w:sz="6" w:space="0" w:color="000000"/>
              <w:bottom w:val="single" w:sz="6" w:space="0" w:color="000000"/>
            </w:tcBorders>
          </w:tcPr>
          <w:p w14:paraId="0B691742" w14:textId="77777777" w:rsidR="00404DB8" w:rsidRPr="00FA639F" w:rsidRDefault="00EE1AF3" w:rsidP="00FA639F">
            <w:pPr>
              <w:pStyle w:val="TableParagraph"/>
              <w:spacing w:before="0"/>
              <w:ind w:left="0" w:right="10"/>
              <w:rPr>
                <w:sz w:val="20"/>
                <w:szCs w:val="20"/>
              </w:rPr>
            </w:pPr>
            <w:r w:rsidRPr="00FA639F">
              <w:rPr>
                <w:spacing w:val="-2"/>
                <w:sz w:val="20"/>
                <w:szCs w:val="20"/>
              </w:rPr>
              <w:t>105.3</w:t>
            </w:r>
          </w:p>
        </w:tc>
        <w:tc>
          <w:tcPr>
            <w:tcW w:w="1586" w:type="dxa"/>
            <w:tcBorders>
              <w:top w:val="single" w:sz="6" w:space="0" w:color="000000"/>
              <w:bottom w:val="single" w:sz="6" w:space="0" w:color="000000"/>
            </w:tcBorders>
          </w:tcPr>
          <w:p w14:paraId="59ADF29A" w14:textId="77777777" w:rsidR="00404DB8" w:rsidRPr="00FA639F" w:rsidRDefault="00EE1AF3" w:rsidP="00FA639F">
            <w:pPr>
              <w:pStyle w:val="TableParagraph"/>
              <w:spacing w:before="0"/>
              <w:ind w:left="27" w:right="1"/>
              <w:rPr>
                <w:sz w:val="20"/>
                <w:szCs w:val="20"/>
              </w:rPr>
            </w:pPr>
            <w:r w:rsidRPr="00FA639F">
              <w:rPr>
                <w:color w:val="252525"/>
                <w:sz w:val="20"/>
                <w:szCs w:val="20"/>
              </w:rPr>
              <w:t xml:space="preserve">95-105 </w:t>
            </w:r>
            <w:r w:rsidRPr="00FA639F">
              <w:rPr>
                <w:color w:val="252525"/>
                <w:spacing w:val="-2"/>
                <w:sz w:val="20"/>
                <w:szCs w:val="20"/>
              </w:rPr>
              <w:t>mEq/L</w:t>
            </w:r>
          </w:p>
        </w:tc>
      </w:tr>
    </w:tbl>
    <w:p w14:paraId="308061BC" w14:textId="77777777" w:rsidR="00404DB8" w:rsidRDefault="00404DB8">
      <w:pPr>
        <w:pStyle w:val="TableParagraph"/>
        <w:sectPr w:rsidR="00404DB8" w:rsidSect="00FA639F">
          <w:headerReference w:type="default" r:id="rId19"/>
          <w:footerReference w:type="default" r:id="rId20"/>
          <w:pgSz w:w="11910" w:h="18720"/>
          <w:pgMar w:top="1260" w:right="992" w:bottom="1260" w:left="992" w:header="864" w:footer="1065" w:gutter="0"/>
          <w:pgNumType w:start="6279"/>
          <w:cols w:num="2" w:space="720"/>
        </w:sectPr>
      </w:pPr>
    </w:p>
    <w:p w14:paraId="48323846" w14:textId="77777777" w:rsidR="00404DB8" w:rsidRDefault="00EE1AF3">
      <w:pPr>
        <w:pStyle w:val="BodyText"/>
        <w:spacing w:before="169"/>
        <w:ind w:right="39" w:firstLine="567"/>
      </w:pPr>
      <w:r>
        <w:lastRenderedPageBreak/>
        <w:t xml:space="preserve">The patient was diagnosed with inferior- </w:t>
      </w:r>
      <w:r>
        <w:t>apical</w:t>
      </w:r>
      <w:r>
        <w:rPr>
          <w:spacing w:val="4"/>
        </w:rPr>
        <w:t xml:space="preserve"> </w:t>
      </w:r>
      <w:r>
        <w:t>with</w:t>
      </w:r>
      <w:r>
        <w:rPr>
          <w:spacing w:val="4"/>
        </w:rPr>
        <w:t xml:space="preserve"> </w:t>
      </w:r>
      <w:r>
        <w:t>possibility</w:t>
      </w:r>
      <w:r>
        <w:rPr>
          <w:spacing w:val="4"/>
        </w:rPr>
        <w:t xml:space="preserve"> </w:t>
      </w:r>
      <w:r>
        <w:t>of</w:t>
      </w:r>
      <w:r>
        <w:rPr>
          <w:spacing w:val="4"/>
        </w:rPr>
        <w:t xml:space="preserve"> </w:t>
      </w:r>
      <w:r>
        <w:t>posterior</w:t>
      </w:r>
      <w:r>
        <w:rPr>
          <w:spacing w:val="4"/>
        </w:rPr>
        <w:t xml:space="preserve"> </w:t>
      </w:r>
      <w:r>
        <w:t>STEMI</w:t>
      </w:r>
      <w:r>
        <w:rPr>
          <w:spacing w:val="5"/>
        </w:rPr>
        <w:t xml:space="preserve"> </w:t>
      </w:r>
      <w:r>
        <w:rPr>
          <w:spacing w:val="-2"/>
        </w:rPr>
        <w:t>KILLIP</w:t>
      </w:r>
    </w:p>
    <w:p w14:paraId="49A5A5A4" w14:textId="77777777" w:rsidR="00404DB8" w:rsidRDefault="00EE1AF3">
      <w:pPr>
        <w:pStyle w:val="BodyText"/>
        <w:ind w:right="38"/>
      </w:pPr>
      <w:r>
        <w:t>1. Therapy from emergency department was loading 300 mg of clopidogrel and 320 mg of aspilet, 1000 ml of asering infusion per 24 hours, 1,5 million units of fibrinolytic, 2,5 mg of Arixtra post</w:t>
      </w:r>
      <w:r>
        <w:rPr>
          <w:spacing w:val="28"/>
        </w:rPr>
        <w:t xml:space="preserve"> </w:t>
      </w:r>
      <w:r>
        <w:t>fibrinolytic</w:t>
      </w:r>
      <w:r>
        <w:rPr>
          <w:spacing w:val="29"/>
        </w:rPr>
        <w:t xml:space="preserve"> </w:t>
      </w:r>
      <w:r>
        <w:t>therapy</w:t>
      </w:r>
      <w:r>
        <w:rPr>
          <w:spacing w:val="29"/>
        </w:rPr>
        <w:t xml:space="preserve"> </w:t>
      </w:r>
      <w:r>
        <w:t>for</w:t>
      </w:r>
      <w:r>
        <w:rPr>
          <w:spacing w:val="29"/>
        </w:rPr>
        <w:t xml:space="preserve"> </w:t>
      </w:r>
      <w:r>
        <w:t>5</w:t>
      </w:r>
      <w:r>
        <w:rPr>
          <w:spacing w:val="29"/>
        </w:rPr>
        <w:t xml:space="preserve"> </w:t>
      </w:r>
      <w:r>
        <w:t>days</w:t>
      </w:r>
      <w:r>
        <w:rPr>
          <w:spacing w:val="29"/>
        </w:rPr>
        <w:t xml:space="preserve"> </w:t>
      </w:r>
      <w:r>
        <w:t>per</w:t>
      </w:r>
      <w:r>
        <w:rPr>
          <w:spacing w:val="29"/>
        </w:rPr>
        <w:t xml:space="preserve"> </w:t>
      </w:r>
      <w:r>
        <w:t>24</w:t>
      </w:r>
      <w:r>
        <w:rPr>
          <w:spacing w:val="29"/>
        </w:rPr>
        <w:t xml:space="preserve"> </w:t>
      </w:r>
      <w:r>
        <w:rPr>
          <w:spacing w:val="-2"/>
        </w:rPr>
        <w:t>hours,</w:t>
      </w:r>
    </w:p>
    <w:p w14:paraId="65D733CA" w14:textId="63A6ADD3" w:rsidR="00404DB8" w:rsidRDefault="00EE1AF3" w:rsidP="009D4C03">
      <w:pPr>
        <w:pStyle w:val="BodyText"/>
        <w:ind w:right="38"/>
      </w:pPr>
      <w:r>
        <w:t>20 mg of atorvastatin per 24 hours, 20 mg of omeprazole</w:t>
      </w:r>
      <w:r>
        <w:rPr>
          <w:spacing w:val="-2"/>
        </w:rPr>
        <w:t xml:space="preserve"> </w:t>
      </w:r>
      <w:r>
        <w:t>per</w:t>
      </w:r>
      <w:r>
        <w:rPr>
          <w:spacing w:val="-2"/>
        </w:rPr>
        <w:t xml:space="preserve"> </w:t>
      </w:r>
      <w:r>
        <w:t>12</w:t>
      </w:r>
      <w:r>
        <w:rPr>
          <w:spacing w:val="-2"/>
        </w:rPr>
        <w:t xml:space="preserve"> </w:t>
      </w:r>
      <w:r>
        <w:t>hours,</w:t>
      </w:r>
      <w:r>
        <w:rPr>
          <w:spacing w:val="-2"/>
        </w:rPr>
        <w:t xml:space="preserve"> </w:t>
      </w:r>
      <w:r>
        <w:t>trizedon</w:t>
      </w:r>
      <w:r>
        <w:rPr>
          <w:spacing w:val="-2"/>
        </w:rPr>
        <w:t xml:space="preserve"> </w:t>
      </w:r>
      <w:r>
        <w:t>per</w:t>
      </w:r>
      <w:r>
        <w:rPr>
          <w:spacing w:val="-2"/>
        </w:rPr>
        <w:t xml:space="preserve"> </w:t>
      </w:r>
      <w:r>
        <w:t>12</w:t>
      </w:r>
      <w:r>
        <w:rPr>
          <w:spacing w:val="-2"/>
        </w:rPr>
        <w:t xml:space="preserve"> </w:t>
      </w:r>
      <w:r>
        <w:t>hours,</w:t>
      </w:r>
      <w:r>
        <w:rPr>
          <w:spacing w:val="-2"/>
        </w:rPr>
        <w:t xml:space="preserve"> </w:t>
      </w:r>
      <w:r>
        <w:t>10 mg of clobazam per 12 hours, and laxadine per 24 hours.</w:t>
      </w:r>
      <w:r>
        <w:rPr>
          <w:spacing w:val="56"/>
        </w:rPr>
        <w:t xml:space="preserve">   </w:t>
      </w:r>
      <w:r>
        <w:t>First</w:t>
      </w:r>
      <w:r>
        <w:rPr>
          <w:spacing w:val="57"/>
        </w:rPr>
        <w:t xml:space="preserve">   </w:t>
      </w:r>
      <w:r>
        <w:t>day</w:t>
      </w:r>
      <w:r>
        <w:rPr>
          <w:spacing w:val="57"/>
        </w:rPr>
        <w:t xml:space="preserve">   </w:t>
      </w:r>
      <w:r>
        <w:t>of</w:t>
      </w:r>
      <w:r>
        <w:rPr>
          <w:spacing w:val="56"/>
        </w:rPr>
        <w:t xml:space="preserve">   </w:t>
      </w:r>
      <w:r>
        <w:t>hospitalized,</w:t>
      </w:r>
      <w:r>
        <w:rPr>
          <w:spacing w:val="57"/>
        </w:rPr>
        <w:t xml:space="preserve">   </w:t>
      </w:r>
      <w:r>
        <w:rPr>
          <w:spacing w:val="-5"/>
        </w:rPr>
        <w:t>the</w:t>
      </w:r>
      <w:r w:rsidR="009D4C03">
        <w:t xml:space="preserve"> </w:t>
      </w:r>
      <w:r>
        <w:t>echocardiogram have been done</w:t>
      </w:r>
      <w:r>
        <w:t xml:space="preserve"> with segmented hypokinetic in inferior wall and LVH septum. Systolic and diastolic function were normal. The patient was discharged to outpatient follow up</w:t>
      </w:r>
      <w:r>
        <w:rPr>
          <w:spacing w:val="40"/>
        </w:rPr>
        <w:t xml:space="preserve"> </w:t>
      </w:r>
      <w:r>
        <w:t>after 5 days of hospitalization.</w:t>
      </w:r>
    </w:p>
    <w:p w14:paraId="7CDE992D" w14:textId="77777777" w:rsidR="009D4C03" w:rsidRDefault="009D4C03" w:rsidP="009D4C03">
      <w:pPr>
        <w:pStyle w:val="BodyText"/>
        <w:spacing w:before="7"/>
        <w:ind w:left="0"/>
        <w:jc w:val="left"/>
        <w:rPr>
          <w:sz w:val="12"/>
        </w:rPr>
      </w:pPr>
      <w:r>
        <w:rPr>
          <w:noProof/>
          <w:sz w:val="12"/>
          <w:lang w:val="en-US"/>
        </w:rPr>
        <w:drawing>
          <wp:anchor distT="0" distB="0" distL="0" distR="0" simplePos="0" relativeHeight="487590400" behindDoc="1" locked="0" layoutInCell="1" allowOverlap="1" wp14:anchorId="56345C12" wp14:editId="31BD0B90">
            <wp:simplePos x="0" y="0"/>
            <wp:positionH relativeFrom="page">
              <wp:posOffset>777225</wp:posOffset>
            </wp:positionH>
            <wp:positionV relativeFrom="paragraph">
              <wp:posOffset>107444</wp:posOffset>
            </wp:positionV>
            <wp:extent cx="2731501" cy="132397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2731501" cy="1323975"/>
                    </a:xfrm>
                    <a:prstGeom prst="rect">
                      <a:avLst/>
                    </a:prstGeom>
                  </pic:spPr>
                </pic:pic>
              </a:graphicData>
            </a:graphic>
          </wp:anchor>
        </w:drawing>
      </w:r>
    </w:p>
    <w:p w14:paraId="02A743F8" w14:textId="77777777" w:rsidR="009D4C03" w:rsidRDefault="009D4C03" w:rsidP="009D4C03">
      <w:pPr>
        <w:pStyle w:val="BodyText"/>
        <w:spacing w:before="44"/>
        <w:ind w:left="231"/>
        <w:jc w:val="left"/>
      </w:pPr>
      <w:r>
        <w:t>Figure</w:t>
      </w:r>
      <w:r>
        <w:rPr>
          <w:spacing w:val="-2"/>
        </w:rPr>
        <w:t xml:space="preserve"> </w:t>
      </w:r>
      <w:r>
        <w:t>1.</w:t>
      </w:r>
      <w:r>
        <w:rPr>
          <w:spacing w:val="-2"/>
        </w:rPr>
        <w:t xml:space="preserve"> </w:t>
      </w:r>
      <w:r>
        <w:t>ECG</w:t>
      </w:r>
      <w:r>
        <w:rPr>
          <w:spacing w:val="-1"/>
        </w:rPr>
        <w:t xml:space="preserve"> </w:t>
      </w:r>
      <w:r>
        <w:t>Finding</w:t>
      </w:r>
      <w:r>
        <w:rPr>
          <w:spacing w:val="-2"/>
        </w:rPr>
        <w:t xml:space="preserve"> </w:t>
      </w:r>
      <w:r>
        <w:t>on</w:t>
      </w:r>
      <w:r>
        <w:rPr>
          <w:spacing w:val="-2"/>
        </w:rPr>
        <w:t xml:space="preserve"> </w:t>
      </w:r>
      <w:r>
        <w:t>first</w:t>
      </w:r>
      <w:r>
        <w:rPr>
          <w:spacing w:val="-1"/>
        </w:rPr>
        <w:t xml:space="preserve"> </w:t>
      </w:r>
      <w:r>
        <w:rPr>
          <w:spacing w:val="-2"/>
        </w:rPr>
        <w:t>onset</w:t>
      </w:r>
    </w:p>
    <w:p w14:paraId="65E734DE" w14:textId="77777777" w:rsidR="009D4C03" w:rsidRDefault="009D4C03" w:rsidP="009D4C03">
      <w:pPr>
        <w:pStyle w:val="BodyText"/>
        <w:spacing w:before="7"/>
        <w:ind w:left="0"/>
        <w:jc w:val="left"/>
        <w:rPr>
          <w:sz w:val="18"/>
        </w:rPr>
      </w:pPr>
      <w:r>
        <w:rPr>
          <w:noProof/>
          <w:sz w:val="18"/>
          <w:lang w:val="en-US"/>
        </w:rPr>
        <w:drawing>
          <wp:anchor distT="0" distB="0" distL="0" distR="0" simplePos="0" relativeHeight="487591424" behindDoc="1" locked="0" layoutInCell="1" allowOverlap="1" wp14:anchorId="3C7151CE" wp14:editId="625C120B">
            <wp:simplePos x="0" y="0"/>
            <wp:positionH relativeFrom="page">
              <wp:posOffset>777225</wp:posOffset>
            </wp:positionH>
            <wp:positionV relativeFrom="paragraph">
              <wp:posOffset>151176</wp:posOffset>
            </wp:positionV>
            <wp:extent cx="2672421" cy="168592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2672421" cy="1685925"/>
                    </a:xfrm>
                    <a:prstGeom prst="rect">
                      <a:avLst/>
                    </a:prstGeom>
                  </pic:spPr>
                </pic:pic>
              </a:graphicData>
            </a:graphic>
          </wp:anchor>
        </w:drawing>
      </w:r>
    </w:p>
    <w:p w14:paraId="71E41631" w14:textId="77777777" w:rsidR="009D4C03" w:rsidRDefault="009D4C03" w:rsidP="009D4C03">
      <w:pPr>
        <w:pStyle w:val="BodyText"/>
        <w:spacing w:before="36"/>
        <w:ind w:left="231"/>
        <w:jc w:val="left"/>
      </w:pPr>
      <w:r>
        <w:t>Figure</w:t>
      </w:r>
      <w:r>
        <w:rPr>
          <w:spacing w:val="-2"/>
        </w:rPr>
        <w:t xml:space="preserve"> </w:t>
      </w:r>
      <w:r>
        <w:t>2.</w:t>
      </w:r>
      <w:r>
        <w:rPr>
          <w:spacing w:val="-1"/>
        </w:rPr>
        <w:t xml:space="preserve"> </w:t>
      </w:r>
      <w:r>
        <w:t>ECG</w:t>
      </w:r>
      <w:r>
        <w:rPr>
          <w:spacing w:val="-1"/>
        </w:rPr>
        <w:t xml:space="preserve"> </w:t>
      </w:r>
      <w:r>
        <w:t>Finding</w:t>
      </w:r>
      <w:r>
        <w:rPr>
          <w:spacing w:val="-1"/>
        </w:rPr>
        <w:t xml:space="preserve"> </w:t>
      </w:r>
      <w:r>
        <w:t>after</w:t>
      </w:r>
      <w:r>
        <w:rPr>
          <w:spacing w:val="-1"/>
        </w:rPr>
        <w:t xml:space="preserve"> </w:t>
      </w:r>
      <w:r>
        <w:rPr>
          <w:spacing w:val="-2"/>
        </w:rPr>
        <w:t>fibrinolytic</w:t>
      </w:r>
    </w:p>
    <w:p w14:paraId="77290CD7" w14:textId="77777777" w:rsidR="009D4C03" w:rsidRDefault="009D4C03" w:rsidP="009D4C03">
      <w:pPr>
        <w:pStyle w:val="BodyText"/>
        <w:ind w:right="38"/>
      </w:pPr>
    </w:p>
    <w:p w14:paraId="0BEAC3E6" w14:textId="77777777" w:rsidR="00404DB8" w:rsidRDefault="00EE1AF3">
      <w:pPr>
        <w:pStyle w:val="BodyText"/>
        <w:ind w:right="38" w:firstLine="567"/>
      </w:pPr>
      <w:r>
        <w:t>The diagnosis was swiftly confirmed by the 12-lead electrocardiogram (ECG), the cornerstone of initial STEMI diagnosis. The findings of ST- segment elevation in leads II, III, and aVF pinpointed an inferior wall infarction, typically cause</w:t>
      </w:r>
      <w:r>
        <w:t>d by occlusion of the Right Coronary Artery (RCA). The additional elevation in V5 and V6 (precordial leads) suggests an extension of the infarct territory, correctly identified as apical area. The possibility of posterior wall involvement is a reasonable c</w:t>
      </w:r>
      <w:r>
        <w:t>onsideration, as inferior myocardial infarction are often associated with posterior extension. This can be confirmed by looking for ST-segment depression in leads V1-V3 or by obtaining</w:t>
      </w:r>
      <w:r>
        <w:rPr>
          <w:spacing w:val="-2"/>
        </w:rPr>
        <w:t xml:space="preserve"> </w:t>
      </w:r>
      <w:r>
        <w:t>posterior</w:t>
      </w:r>
      <w:r>
        <w:rPr>
          <w:spacing w:val="-2"/>
        </w:rPr>
        <w:t xml:space="preserve"> </w:t>
      </w:r>
      <w:r>
        <w:t>leads</w:t>
      </w:r>
      <w:r>
        <w:rPr>
          <w:spacing w:val="-2"/>
        </w:rPr>
        <w:t xml:space="preserve"> </w:t>
      </w:r>
      <w:r>
        <w:t>(V7-V9).</w:t>
      </w:r>
      <w:r>
        <w:rPr>
          <w:spacing w:val="-2"/>
        </w:rPr>
        <w:t xml:space="preserve"> </w:t>
      </w:r>
      <w:r>
        <w:t>The</w:t>
      </w:r>
      <w:r>
        <w:rPr>
          <w:spacing w:val="-2"/>
        </w:rPr>
        <w:t xml:space="preserve"> </w:t>
      </w:r>
      <w:r>
        <w:t>patient</w:t>
      </w:r>
      <w:r>
        <w:rPr>
          <w:spacing w:val="-2"/>
        </w:rPr>
        <w:t xml:space="preserve"> </w:t>
      </w:r>
      <w:r>
        <w:t xml:space="preserve">was classified as KILLIP 1, </w:t>
      </w:r>
      <w:r>
        <w:t>indicating no clinical signs of heart failure (no rales, no s3 gallop). This classification is crucial for risk stratification and has significant prognostic value.</w:t>
      </w:r>
    </w:p>
    <w:p w14:paraId="22CBCB8F" w14:textId="77777777" w:rsidR="009D4C03" w:rsidRDefault="009D4C03" w:rsidP="009D4C03">
      <w:pPr>
        <w:pStyle w:val="BodyText"/>
        <w:spacing w:before="169"/>
        <w:ind w:right="85"/>
      </w:pPr>
      <w:r>
        <w:lastRenderedPageBreak/>
        <w:t>T</w:t>
      </w:r>
      <w:r w:rsidRPr="009D4C03">
        <w:t>his case adds novelty by documenting the real-world application of fibrinolytic therapy for STEMI in an Indonesian archipelago setting, highlighting the integration of pharmacoinvasive strategy in a resource-limited environment, a context rarely reported in national or international literature</w:t>
      </w:r>
      <w:r>
        <w:t>This case highlights the effectiveness and guideline-concordant management of ST-segment elevation myocardial infarction (STEMI) in a resource-limited</w:t>
      </w:r>
      <w:r>
        <w:rPr>
          <w:spacing w:val="43"/>
        </w:rPr>
        <w:t xml:space="preserve"> </w:t>
      </w:r>
      <w:r>
        <w:t>setting,</w:t>
      </w:r>
      <w:r>
        <w:rPr>
          <w:spacing w:val="44"/>
        </w:rPr>
        <w:t xml:space="preserve"> </w:t>
      </w:r>
      <w:r>
        <w:t>a</w:t>
      </w:r>
      <w:r>
        <w:rPr>
          <w:spacing w:val="44"/>
        </w:rPr>
        <w:t xml:space="preserve"> </w:t>
      </w:r>
      <w:r>
        <w:t>challenge</w:t>
      </w:r>
      <w:r>
        <w:rPr>
          <w:spacing w:val="44"/>
        </w:rPr>
        <w:t xml:space="preserve"> </w:t>
      </w:r>
      <w:r>
        <w:t>that</w:t>
      </w:r>
      <w:r>
        <w:rPr>
          <w:spacing w:val="44"/>
        </w:rPr>
        <w:t xml:space="preserve"> </w:t>
      </w:r>
      <w:r>
        <w:rPr>
          <w:spacing w:val="-2"/>
        </w:rPr>
        <w:t xml:space="preserve">persists </w:t>
      </w:r>
      <w:r>
        <w:t>globally despite advances in cardiac care. The core issue revolves around the timely restoration of coronary artery patency. While primary percutaneous coronary intervention (PCI) remains the undisputed gold standard for reperfusion, its benefit is critically depend on time, with “door-to- ballon” time of under 90-120 minutes being the benchmark</w:t>
      </w:r>
      <w:r>
        <w:rPr>
          <w:spacing w:val="-1"/>
        </w:rPr>
        <w:t xml:space="preserve"> </w:t>
      </w:r>
      <w:r>
        <w:t>for</w:t>
      </w:r>
      <w:r>
        <w:rPr>
          <w:spacing w:val="-1"/>
        </w:rPr>
        <w:t xml:space="preserve"> </w:t>
      </w:r>
      <w:r>
        <w:t>optimal</w:t>
      </w:r>
      <w:r>
        <w:rPr>
          <w:spacing w:val="-1"/>
        </w:rPr>
        <w:t xml:space="preserve"> </w:t>
      </w:r>
      <w:r>
        <w:t>outcomes</w:t>
      </w:r>
      <w:r>
        <w:rPr>
          <w:spacing w:val="-1"/>
        </w:rPr>
        <w:t xml:space="preserve"> </w:t>
      </w:r>
      <w:r>
        <w:t>(Rao</w:t>
      </w:r>
      <w:r>
        <w:rPr>
          <w:spacing w:val="-1"/>
        </w:rPr>
        <w:t xml:space="preserve"> </w:t>
      </w:r>
      <w:r>
        <w:t>et</w:t>
      </w:r>
      <w:r>
        <w:rPr>
          <w:spacing w:val="-1"/>
        </w:rPr>
        <w:t xml:space="preserve"> </w:t>
      </w:r>
      <w:r>
        <w:t>al.,</w:t>
      </w:r>
      <w:r>
        <w:rPr>
          <w:spacing w:val="-1"/>
        </w:rPr>
        <w:t xml:space="preserve"> </w:t>
      </w:r>
      <w:r>
        <w:t>2025; Stephanus et al., 2025). In geographically isolated areas</w:t>
      </w:r>
      <w:r>
        <w:rPr>
          <w:spacing w:val="-3"/>
        </w:rPr>
        <w:t xml:space="preserve"> </w:t>
      </w:r>
      <w:r>
        <w:t>like</w:t>
      </w:r>
      <w:r>
        <w:rPr>
          <w:spacing w:val="-3"/>
        </w:rPr>
        <w:t xml:space="preserve"> </w:t>
      </w:r>
      <w:r>
        <w:t>archipelagos,</w:t>
      </w:r>
      <w:r>
        <w:rPr>
          <w:spacing w:val="-3"/>
        </w:rPr>
        <w:t xml:space="preserve"> </w:t>
      </w:r>
      <w:r>
        <w:t>achieving</w:t>
      </w:r>
      <w:r>
        <w:rPr>
          <w:spacing w:val="-3"/>
        </w:rPr>
        <w:t xml:space="preserve"> </w:t>
      </w:r>
      <w:r>
        <w:t>this</w:t>
      </w:r>
      <w:r>
        <w:rPr>
          <w:spacing w:val="-3"/>
        </w:rPr>
        <w:t xml:space="preserve"> </w:t>
      </w:r>
      <w:r>
        <w:t>timeframe</w:t>
      </w:r>
      <w:r>
        <w:rPr>
          <w:spacing w:val="-3"/>
        </w:rPr>
        <w:t xml:space="preserve"> </w:t>
      </w:r>
      <w:r>
        <w:t>is often a logistically impossible, making primary</w:t>
      </w:r>
      <w:r>
        <w:rPr>
          <w:spacing w:val="40"/>
        </w:rPr>
        <w:t xml:space="preserve"> </w:t>
      </w:r>
      <w:r>
        <w:t xml:space="preserve">PCI is an unavailable option for the majority of </w:t>
      </w:r>
      <w:r>
        <w:rPr>
          <w:spacing w:val="-2"/>
        </w:rPr>
        <w:t>patients.</w:t>
      </w:r>
    </w:p>
    <w:p w14:paraId="7F4CF3E7" w14:textId="77777777" w:rsidR="009D4C03" w:rsidRDefault="009D4C03" w:rsidP="009D4C03">
      <w:pPr>
        <w:pStyle w:val="BodyText"/>
        <w:ind w:right="86" w:firstLine="720"/>
      </w:pPr>
      <w:r>
        <w:t>In these circumstances, the therapeutic priority</w:t>
      </w:r>
      <w:r>
        <w:rPr>
          <w:spacing w:val="-4"/>
        </w:rPr>
        <w:t xml:space="preserve"> </w:t>
      </w:r>
      <w:r>
        <w:t>shifts</w:t>
      </w:r>
      <w:r>
        <w:rPr>
          <w:spacing w:val="-4"/>
        </w:rPr>
        <w:t xml:space="preserve"> </w:t>
      </w:r>
      <w:r>
        <w:t>from</w:t>
      </w:r>
      <w:r>
        <w:rPr>
          <w:spacing w:val="-4"/>
        </w:rPr>
        <w:t xml:space="preserve"> </w:t>
      </w:r>
      <w:r>
        <w:t>achieving</w:t>
      </w:r>
      <w:r>
        <w:rPr>
          <w:spacing w:val="-4"/>
        </w:rPr>
        <w:t xml:space="preserve"> </w:t>
      </w:r>
      <w:r>
        <w:t>the</w:t>
      </w:r>
      <w:r>
        <w:rPr>
          <w:spacing w:val="-4"/>
        </w:rPr>
        <w:t xml:space="preserve"> </w:t>
      </w:r>
      <w:r>
        <w:t>ideal</w:t>
      </w:r>
      <w:r>
        <w:rPr>
          <w:spacing w:val="-4"/>
        </w:rPr>
        <w:t xml:space="preserve"> </w:t>
      </w:r>
      <w:r>
        <w:t>intervention to providing the best possible time-sensitive treatment. The 2025 ACC/AHA guidelines and other recent analyses continue to strongly endorse fibrinolytic therapy as the primary reperfusion strategy when timely PCI is not feasible (Armstrong et al., 2013; Zeymer et al., 2021). The principle of “time is muscle” remains paramount, and the focus shifts to the “door-to-needle” time. This case serves as a practical example of this principle, where initiating reperfusion with fibrinolytic agent was not a compromise but the most effective strategy to prevent mortality.</w:t>
      </w:r>
      <w:r>
        <w:rPr>
          <w:spacing w:val="40"/>
        </w:rPr>
        <w:t xml:space="preserve"> </w:t>
      </w:r>
      <w:r>
        <w:t>Studies</w:t>
      </w:r>
      <w:r>
        <w:rPr>
          <w:spacing w:val="-4"/>
        </w:rPr>
        <w:t xml:space="preserve"> </w:t>
      </w:r>
      <w:r>
        <w:t>consistently</w:t>
      </w:r>
      <w:r>
        <w:rPr>
          <w:spacing w:val="-4"/>
        </w:rPr>
        <w:t xml:space="preserve"> </w:t>
      </w:r>
      <w:r>
        <w:t>show</w:t>
      </w:r>
      <w:r>
        <w:rPr>
          <w:spacing w:val="-4"/>
        </w:rPr>
        <w:t xml:space="preserve"> </w:t>
      </w:r>
      <w:r>
        <w:t>that</w:t>
      </w:r>
      <w:r>
        <w:rPr>
          <w:spacing w:val="-4"/>
        </w:rPr>
        <w:t xml:space="preserve"> </w:t>
      </w:r>
      <w:r>
        <w:t>the</w:t>
      </w:r>
      <w:r>
        <w:rPr>
          <w:spacing w:val="-4"/>
        </w:rPr>
        <w:t xml:space="preserve"> </w:t>
      </w:r>
      <w:r>
        <w:t>mortality</w:t>
      </w:r>
      <w:r>
        <w:rPr>
          <w:spacing w:val="-4"/>
        </w:rPr>
        <w:t xml:space="preserve"> </w:t>
      </w:r>
      <w:r>
        <w:t>benefit of fibrinolysis is the greatest when administered within the first few hours of symptom onset, a window where transport delays to a PCI centre would otherwise lead to irreversible myocardial necrosis (Halvorsen, 2012).</w:t>
      </w:r>
    </w:p>
    <w:p w14:paraId="4635E5A5" w14:textId="77777777" w:rsidR="009D4C03" w:rsidRDefault="009D4C03" w:rsidP="009D4C03">
      <w:pPr>
        <w:pStyle w:val="BodyText"/>
        <w:ind w:right="85" w:firstLine="720"/>
      </w:pPr>
      <w:r>
        <w:t>Furthermore, this case exemplifies the modern “pharmacoinvasive strategy”, which is</w:t>
      </w:r>
      <w:r>
        <w:rPr>
          <w:spacing w:val="40"/>
        </w:rPr>
        <w:t xml:space="preserve"> </w:t>
      </w:r>
      <w:r>
        <w:t>now become the standard of care for patients receiving initial fibrinolysis (Bendary et al., 2025; Stephanus</w:t>
      </w:r>
      <w:r>
        <w:rPr>
          <w:spacing w:val="-2"/>
        </w:rPr>
        <w:t xml:space="preserve"> </w:t>
      </w:r>
      <w:r>
        <w:t>et</w:t>
      </w:r>
      <w:r>
        <w:rPr>
          <w:spacing w:val="-2"/>
        </w:rPr>
        <w:t xml:space="preserve"> </w:t>
      </w:r>
      <w:r>
        <w:t>al.,</w:t>
      </w:r>
      <w:r>
        <w:rPr>
          <w:spacing w:val="-2"/>
        </w:rPr>
        <w:t xml:space="preserve"> </w:t>
      </w:r>
      <w:r>
        <w:t>2025).</w:t>
      </w:r>
      <w:r>
        <w:rPr>
          <w:spacing w:val="-2"/>
        </w:rPr>
        <w:t xml:space="preserve"> </w:t>
      </w:r>
      <w:r>
        <w:t>This</w:t>
      </w:r>
      <w:r>
        <w:rPr>
          <w:spacing w:val="-2"/>
        </w:rPr>
        <w:t xml:space="preserve"> </w:t>
      </w:r>
      <w:r>
        <w:t>approach</w:t>
      </w:r>
      <w:r>
        <w:rPr>
          <w:spacing w:val="-2"/>
        </w:rPr>
        <w:t xml:space="preserve"> </w:t>
      </w:r>
      <w:r>
        <w:t>involves</w:t>
      </w:r>
      <w:r>
        <w:rPr>
          <w:spacing w:val="-2"/>
        </w:rPr>
        <w:t xml:space="preserve"> </w:t>
      </w:r>
      <w:r>
        <w:t xml:space="preserve">the administration of a fibrinolytic agent at a non PCI- capable centre for routine coronary angiography (and intervention if needed) within 2-24 hours. A 2024 study that analyzing this strategy confirmed its role as the standard of care where primary PCI is unfeasible, effectively bridging the gap between immediate reperfusion and definitive anatomical treatment (Stephanus et al., 2025). This two-step process secures the early benefit of a patent artery from lysis while it still allowing for the long-term benefits of PCI, such as treating residual stenosis and reducing rates of </w:t>
      </w:r>
      <w:r>
        <w:lastRenderedPageBreak/>
        <w:t>reinfarction.</w:t>
      </w:r>
    </w:p>
    <w:p w14:paraId="018824D5" w14:textId="77777777" w:rsidR="00FA639F" w:rsidRDefault="009D4C03" w:rsidP="00FA639F">
      <w:pPr>
        <w:pStyle w:val="BodyText"/>
        <w:ind w:right="87" w:firstLine="720"/>
      </w:pPr>
      <w:r>
        <w:t>This case is a powerful illustration of how to apply evidence-based medicine adapts to real- world logistical constraints. It validates the continued, critical role of fibrinolytic therapy within a structured pharmaco-invasive system of care. For healthcare system in archipelago nations and other remote regions, this case reinforces that investing in robust protocols for rapid diagnosis, confident administration of fibrinolytics, and efficient patient transfer networks are a highly effective strategy to reduce STEMI mortality and improve patient outcomes in the 2021-2025 era.</w:t>
      </w:r>
      <w:r w:rsidR="00FA639F">
        <w:t xml:space="preserve"> </w:t>
      </w:r>
    </w:p>
    <w:p w14:paraId="2E5795D3" w14:textId="77777777" w:rsidR="00FA639F" w:rsidRDefault="00FA639F" w:rsidP="00FA639F">
      <w:pPr>
        <w:pStyle w:val="BodyText"/>
        <w:ind w:right="87" w:firstLine="720"/>
      </w:pPr>
    </w:p>
    <w:p w14:paraId="173AE4A2" w14:textId="5EF9C06A" w:rsidR="00404DB8" w:rsidRPr="00FA639F" w:rsidRDefault="00EE1AF3" w:rsidP="00FA639F">
      <w:pPr>
        <w:pStyle w:val="BodyText"/>
        <w:ind w:left="142" w:right="87"/>
        <w:rPr>
          <w:b/>
        </w:rPr>
      </w:pPr>
      <w:r w:rsidRPr="00FA639F">
        <w:rPr>
          <w:b/>
          <w:spacing w:val="-2"/>
        </w:rPr>
        <w:t>CONCLUSIONS</w:t>
      </w:r>
    </w:p>
    <w:p w14:paraId="4961DE36" w14:textId="77777777" w:rsidR="00404DB8" w:rsidRDefault="00EE1AF3">
      <w:pPr>
        <w:pStyle w:val="BodyText"/>
        <w:spacing w:before="120"/>
        <w:ind w:right="38" w:firstLine="567"/>
      </w:pPr>
      <w:r>
        <w:t xml:space="preserve">This </w:t>
      </w:r>
      <w:r>
        <w:t>case illustrates a well-executed initial management of an inferior-apical STEMI in a setting where fibrinolysis was the chosen reperfusion strategy. The diagnosis was accurate, and the administration of double antiplatelets therapy (DAPT), fibrinolysis, an</w:t>
      </w:r>
      <w:r>
        <w:t>d post-fibrinolysis anticoagulation with fondaparinux were consistent with major clinical trial evidence and guidelines. The</w:t>
      </w:r>
      <w:r>
        <w:rPr>
          <w:spacing w:val="-7"/>
        </w:rPr>
        <w:t xml:space="preserve"> </w:t>
      </w:r>
      <w:r>
        <w:t>inpatient</w:t>
      </w:r>
      <w:r>
        <w:rPr>
          <w:spacing w:val="-7"/>
        </w:rPr>
        <w:t xml:space="preserve"> </w:t>
      </w:r>
      <w:r>
        <w:t>echocardiogram</w:t>
      </w:r>
      <w:r>
        <w:rPr>
          <w:spacing w:val="-7"/>
        </w:rPr>
        <w:t xml:space="preserve"> </w:t>
      </w:r>
      <w:r>
        <w:t>confirmed</w:t>
      </w:r>
      <w:r>
        <w:rPr>
          <w:spacing w:val="-7"/>
        </w:rPr>
        <w:t xml:space="preserve"> </w:t>
      </w:r>
      <w:r>
        <w:t>the</w:t>
      </w:r>
      <w:r>
        <w:rPr>
          <w:spacing w:val="-7"/>
        </w:rPr>
        <w:t xml:space="preserve"> </w:t>
      </w:r>
      <w:r>
        <w:t>extent of myocardial damage and revealed the underlying impact of chronic hypertension.</w:t>
      </w:r>
    </w:p>
    <w:p w14:paraId="4A96A2C5" w14:textId="77777777" w:rsidR="00404DB8" w:rsidRDefault="00EE1AF3">
      <w:pPr>
        <w:pStyle w:val="BodyText"/>
        <w:ind w:right="38" w:firstLine="720"/>
        <w:rPr>
          <w:spacing w:val="-2"/>
        </w:rPr>
      </w:pPr>
      <w:r>
        <w:t xml:space="preserve">For </w:t>
      </w:r>
      <w:r>
        <w:t>optimal secondary prevention, key considerations</w:t>
      </w:r>
      <w:r>
        <w:rPr>
          <w:spacing w:val="-5"/>
        </w:rPr>
        <w:t xml:space="preserve"> </w:t>
      </w:r>
      <w:r>
        <w:t>upon</w:t>
      </w:r>
      <w:r>
        <w:rPr>
          <w:spacing w:val="-5"/>
        </w:rPr>
        <w:t xml:space="preserve"> </w:t>
      </w:r>
      <w:r>
        <w:t>discharge</w:t>
      </w:r>
      <w:r>
        <w:rPr>
          <w:spacing w:val="-5"/>
        </w:rPr>
        <w:t xml:space="preserve"> </w:t>
      </w:r>
      <w:r>
        <w:t>would</w:t>
      </w:r>
      <w:r>
        <w:rPr>
          <w:spacing w:val="-5"/>
        </w:rPr>
        <w:t xml:space="preserve"> </w:t>
      </w:r>
      <w:r>
        <w:t>be</w:t>
      </w:r>
      <w:r>
        <w:rPr>
          <w:spacing w:val="-5"/>
        </w:rPr>
        <w:t xml:space="preserve"> </w:t>
      </w:r>
      <w:r>
        <w:t>titration</w:t>
      </w:r>
      <w:r>
        <w:rPr>
          <w:spacing w:val="-5"/>
        </w:rPr>
        <w:t xml:space="preserve"> </w:t>
      </w:r>
      <w:r>
        <w:t>to high-intensity statin therapy and the definite initiation and up-titration of a beta-blocker and an ACE inhibitor or an Angiotensin Receptor Blockers for blood pressure c</w:t>
      </w:r>
      <w:r>
        <w:t xml:space="preserve">ontrol and cardio- protection. Comprehensive lifestyle counselling regarding smoking cessation and diet is equally critical to improve the patient’s long-term </w:t>
      </w:r>
      <w:r>
        <w:rPr>
          <w:spacing w:val="-2"/>
        </w:rPr>
        <w:t>prognosis.</w:t>
      </w:r>
    </w:p>
    <w:p w14:paraId="028D2523" w14:textId="77777777" w:rsidR="00FA639F" w:rsidRDefault="00FA639F">
      <w:pPr>
        <w:pStyle w:val="BodyText"/>
        <w:ind w:right="38" w:firstLine="720"/>
      </w:pPr>
    </w:p>
    <w:p w14:paraId="30D24BEF" w14:textId="77777777" w:rsidR="00FA639F" w:rsidRDefault="00FA639F" w:rsidP="00FA639F">
      <w:pPr>
        <w:pStyle w:val="BodyText"/>
        <w:spacing w:after="120"/>
        <w:ind w:left="811" w:right="40" w:hanging="720"/>
        <w:rPr>
          <w:b/>
          <w:bCs/>
        </w:rPr>
      </w:pPr>
      <w:r w:rsidRPr="00FA639F">
        <w:rPr>
          <w:b/>
          <w:bCs/>
        </w:rPr>
        <w:t>BIBLIOGRAPHY</w:t>
      </w:r>
    </w:p>
    <w:p w14:paraId="68B64E3A" w14:textId="0EB7D357" w:rsidR="00404DB8" w:rsidRDefault="00EE1AF3" w:rsidP="00FA639F">
      <w:pPr>
        <w:pStyle w:val="BodyText"/>
        <w:ind w:left="808" w:right="38" w:hanging="720"/>
      </w:pPr>
      <w:r>
        <w:t>Ali, A., &amp;</w:t>
      </w:r>
      <w:r>
        <w:t xml:space="preserve"> Loebis, I. M. (2025). Pengaruh Waktu Door-To-Balloon ≤90 Menit Terhadap Perubahan Ejaksi Fraksi Ventrikel Kiri Pasca Tindakan Primary Pci pada Pasien Stemi. </w:t>
      </w:r>
      <w:r>
        <w:rPr>
          <w:i/>
        </w:rPr>
        <w:t>Jurnal Ners</w:t>
      </w:r>
      <w:r>
        <w:t xml:space="preserve">, </w:t>
      </w:r>
      <w:r>
        <w:rPr>
          <w:i/>
        </w:rPr>
        <w:t>9</w:t>
      </w:r>
      <w:r>
        <w:t xml:space="preserve">(3), 3513–3518. </w:t>
      </w:r>
      <w:r>
        <w:rPr>
          <w:spacing w:val="-2"/>
        </w:rPr>
        <w:t>https://doi.org/10.31004/jn.v9i3.45150</w:t>
      </w:r>
    </w:p>
    <w:p w14:paraId="34E3E781" w14:textId="77777777" w:rsidR="00404DB8" w:rsidRDefault="00EE1AF3" w:rsidP="00FA639F">
      <w:pPr>
        <w:pStyle w:val="BodyText"/>
        <w:ind w:left="808" w:right="38" w:hanging="720"/>
      </w:pPr>
      <w:r>
        <w:t xml:space="preserve">Armstrong, P. W., Gershlick, </w:t>
      </w:r>
      <w:r>
        <w:t>A. H., Goldstein, P., Wilcox, R., Danays, T., Lambert, Y., Sulimov, V., Rosell Ortiz, F., Ostojic, M., Welsh,</w:t>
      </w:r>
      <w:r>
        <w:rPr>
          <w:spacing w:val="29"/>
        </w:rPr>
        <w:t xml:space="preserve"> </w:t>
      </w:r>
      <w:r>
        <w:t>R.</w:t>
      </w:r>
      <w:r>
        <w:rPr>
          <w:spacing w:val="29"/>
        </w:rPr>
        <w:t xml:space="preserve"> </w:t>
      </w:r>
      <w:r>
        <w:t>C.,</w:t>
      </w:r>
      <w:r>
        <w:rPr>
          <w:spacing w:val="29"/>
        </w:rPr>
        <w:t xml:space="preserve"> </w:t>
      </w:r>
      <w:r>
        <w:t>Carvalho,</w:t>
      </w:r>
      <w:r>
        <w:rPr>
          <w:spacing w:val="29"/>
        </w:rPr>
        <w:t xml:space="preserve"> </w:t>
      </w:r>
      <w:r>
        <w:t>A.</w:t>
      </w:r>
      <w:r>
        <w:rPr>
          <w:spacing w:val="29"/>
        </w:rPr>
        <w:t xml:space="preserve"> </w:t>
      </w:r>
      <w:r>
        <w:t>C.,</w:t>
      </w:r>
      <w:r>
        <w:rPr>
          <w:spacing w:val="29"/>
        </w:rPr>
        <w:t xml:space="preserve"> </w:t>
      </w:r>
      <w:r>
        <w:t>Nanas,</w:t>
      </w:r>
      <w:r>
        <w:rPr>
          <w:spacing w:val="29"/>
        </w:rPr>
        <w:t xml:space="preserve"> </w:t>
      </w:r>
      <w:r>
        <w:rPr>
          <w:spacing w:val="-5"/>
        </w:rPr>
        <w:t>J.,</w:t>
      </w:r>
    </w:p>
    <w:p w14:paraId="263510F0" w14:textId="77777777" w:rsidR="00404DB8" w:rsidRDefault="00EE1AF3" w:rsidP="00FA639F">
      <w:pPr>
        <w:pStyle w:val="BodyText"/>
        <w:ind w:left="808" w:right="38"/>
      </w:pPr>
      <w:r>
        <w:t>Arntz, H.-R., Halvorsen, S., Huber, K., Grajek, S., Fresco, C., Bluhmki, E., Regelin, A., … STREAM Investigativ</w:t>
      </w:r>
      <w:r>
        <w:t xml:space="preserve">e Team. (2013). Fibrinolysis or primary PCI in ST-segment elevation myocardial infarction. </w:t>
      </w:r>
      <w:r>
        <w:rPr>
          <w:i/>
        </w:rPr>
        <w:t>The New England Journal of Medicine</w:t>
      </w:r>
      <w:r>
        <w:t>,</w:t>
      </w:r>
      <w:r>
        <w:rPr>
          <w:spacing w:val="57"/>
          <w:w w:val="150"/>
        </w:rPr>
        <w:t xml:space="preserve">    </w:t>
      </w:r>
      <w:r>
        <w:rPr>
          <w:i/>
        </w:rPr>
        <w:t>368</w:t>
      </w:r>
      <w:r>
        <w:t>(15),</w:t>
      </w:r>
      <w:r>
        <w:rPr>
          <w:spacing w:val="58"/>
          <w:w w:val="150"/>
        </w:rPr>
        <w:t xml:space="preserve">    </w:t>
      </w:r>
      <w:r>
        <w:rPr>
          <w:spacing w:val="-2"/>
        </w:rPr>
        <w:t>1379–1387.</w:t>
      </w:r>
    </w:p>
    <w:p w14:paraId="5CD78F31" w14:textId="77777777" w:rsidR="00404DB8" w:rsidRDefault="00EE1AF3" w:rsidP="00FA639F">
      <w:pPr>
        <w:pStyle w:val="BodyText"/>
        <w:ind w:left="88" w:right="38" w:firstLine="720"/>
      </w:pPr>
      <w:r>
        <w:rPr>
          <w:spacing w:val="-2"/>
        </w:rPr>
        <w:t xml:space="preserve">https://doi.org/10.1056/NEJMoa1301092 </w:t>
      </w:r>
      <w:r>
        <w:t>Bendary,</w:t>
      </w:r>
      <w:r>
        <w:rPr>
          <w:spacing w:val="22"/>
        </w:rPr>
        <w:t xml:space="preserve"> </w:t>
      </w:r>
      <w:r>
        <w:t>A.</w:t>
      </w:r>
      <w:r>
        <w:rPr>
          <w:spacing w:val="22"/>
        </w:rPr>
        <w:t xml:space="preserve"> </w:t>
      </w:r>
      <w:r>
        <w:t>M.,</w:t>
      </w:r>
      <w:r>
        <w:rPr>
          <w:spacing w:val="22"/>
        </w:rPr>
        <w:t xml:space="preserve"> </w:t>
      </w:r>
      <w:r>
        <w:t>Arafa,</w:t>
      </w:r>
      <w:r>
        <w:rPr>
          <w:spacing w:val="22"/>
        </w:rPr>
        <w:t xml:space="preserve"> </w:t>
      </w:r>
      <w:r>
        <w:t>O.</w:t>
      </w:r>
      <w:r>
        <w:rPr>
          <w:spacing w:val="22"/>
        </w:rPr>
        <w:t xml:space="preserve"> </w:t>
      </w:r>
      <w:r>
        <w:t>S.,</w:t>
      </w:r>
      <w:r>
        <w:rPr>
          <w:spacing w:val="22"/>
        </w:rPr>
        <w:t xml:space="preserve"> </w:t>
      </w:r>
      <w:r>
        <w:t>Awad,</w:t>
      </w:r>
      <w:r>
        <w:rPr>
          <w:spacing w:val="22"/>
        </w:rPr>
        <w:t xml:space="preserve"> </w:t>
      </w:r>
      <w:r>
        <w:t>Z.</w:t>
      </w:r>
      <w:r>
        <w:rPr>
          <w:spacing w:val="22"/>
        </w:rPr>
        <w:t xml:space="preserve"> </w:t>
      </w:r>
      <w:r>
        <w:t>G.</w:t>
      </w:r>
      <w:r>
        <w:rPr>
          <w:spacing w:val="22"/>
        </w:rPr>
        <w:t xml:space="preserve"> </w:t>
      </w:r>
      <w:r>
        <w:t>G.,</w:t>
      </w:r>
      <w:r>
        <w:rPr>
          <w:spacing w:val="22"/>
        </w:rPr>
        <w:t xml:space="preserve"> </w:t>
      </w:r>
      <w:r>
        <w:rPr>
          <w:spacing w:val="-10"/>
        </w:rPr>
        <w:t>&amp;</w:t>
      </w:r>
    </w:p>
    <w:p w14:paraId="549D39FE" w14:textId="77777777" w:rsidR="00404DB8" w:rsidRDefault="00EE1AF3" w:rsidP="00FA639F">
      <w:pPr>
        <w:pStyle w:val="BodyText"/>
        <w:ind w:left="808" w:right="38"/>
      </w:pPr>
      <w:r>
        <w:lastRenderedPageBreak/>
        <w:t xml:space="preserve">Abd El Rahman, Y. H. (2025). The Efficacy and Safety of Ticagrelor Compared With Clopidogrel in Patients With ST-Segment Elevation Myocardial Infarction Scheduled for a Pharmaco- Invasive Reperfusion Strategy. </w:t>
      </w:r>
      <w:r>
        <w:rPr>
          <w:i/>
        </w:rPr>
        <w:t>Iranian Heart Journal</w:t>
      </w:r>
      <w:r>
        <w:t xml:space="preserve">, </w:t>
      </w:r>
      <w:r>
        <w:rPr>
          <w:i/>
        </w:rPr>
        <w:t>26</w:t>
      </w:r>
      <w:r>
        <w:t>(2), 39–48.</w:t>
      </w:r>
    </w:p>
    <w:p w14:paraId="2EC6B465" w14:textId="77777777" w:rsidR="00404DB8" w:rsidRDefault="00EE1AF3" w:rsidP="00FA639F">
      <w:pPr>
        <w:ind w:left="807" w:right="38" w:hanging="720"/>
        <w:jc w:val="both"/>
      </w:pPr>
      <w:r>
        <w:t>Halvorsen</w:t>
      </w:r>
      <w:r>
        <w:t xml:space="preserve">, S. (2012). STEMI treatment in areas remote from primary PCI centres. </w:t>
      </w:r>
      <w:r>
        <w:rPr>
          <w:i/>
        </w:rPr>
        <w:t>EuroIntervention: Journal of EuroPCR in Collaboration with the Working Group on Interventional</w:t>
      </w:r>
      <w:r>
        <w:rPr>
          <w:i/>
          <w:spacing w:val="-4"/>
        </w:rPr>
        <w:t xml:space="preserve"> </w:t>
      </w:r>
      <w:r>
        <w:rPr>
          <w:i/>
        </w:rPr>
        <w:t>Cardiology</w:t>
      </w:r>
      <w:r>
        <w:rPr>
          <w:i/>
          <w:spacing w:val="-4"/>
        </w:rPr>
        <w:t xml:space="preserve"> </w:t>
      </w:r>
      <w:r>
        <w:rPr>
          <w:i/>
        </w:rPr>
        <w:t>of</w:t>
      </w:r>
      <w:r>
        <w:rPr>
          <w:i/>
          <w:spacing w:val="-4"/>
        </w:rPr>
        <w:t xml:space="preserve"> </w:t>
      </w:r>
      <w:r>
        <w:rPr>
          <w:i/>
        </w:rPr>
        <w:t>the</w:t>
      </w:r>
      <w:r>
        <w:rPr>
          <w:i/>
          <w:spacing w:val="-4"/>
        </w:rPr>
        <w:t xml:space="preserve"> </w:t>
      </w:r>
      <w:r>
        <w:rPr>
          <w:i/>
        </w:rPr>
        <w:t>European Society of Cardiology</w:t>
      </w:r>
      <w:r>
        <w:t xml:space="preserve">, </w:t>
      </w:r>
      <w:r>
        <w:rPr>
          <w:i/>
        </w:rPr>
        <w:t>8 Suppl P</w:t>
      </w:r>
      <w:r>
        <w:t xml:space="preserve">, P44-50. </w:t>
      </w:r>
      <w:r>
        <w:rPr>
          <w:spacing w:val="-2"/>
        </w:rPr>
        <w:t>https://doi.org/10.42</w:t>
      </w:r>
      <w:r>
        <w:rPr>
          <w:spacing w:val="-2"/>
        </w:rPr>
        <w:t>44/EIJV8SPA8</w:t>
      </w:r>
    </w:p>
    <w:p w14:paraId="1803487B" w14:textId="77777777" w:rsidR="00404DB8" w:rsidRDefault="00EE1AF3" w:rsidP="00FA639F">
      <w:pPr>
        <w:pStyle w:val="BodyText"/>
        <w:ind w:left="807" w:right="38" w:hanging="720"/>
      </w:pPr>
      <w:r>
        <w:t>Ibanez, B., James, S., Agewall, S., Antunes, M. J., Bucciarelli-Ducci,</w:t>
      </w:r>
      <w:r>
        <w:rPr>
          <w:spacing w:val="19"/>
        </w:rPr>
        <w:t xml:space="preserve"> </w:t>
      </w:r>
      <w:r>
        <w:t>C.,</w:t>
      </w:r>
      <w:r>
        <w:rPr>
          <w:spacing w:val="19"/>
        </w:rPr>
        <w:t xml:space="preserve"> </w:t>
      </w:r>
      <w:r>
        <w:t>Bueno,</w:t>
      </w:r>
      <w:r>
        <w:rPr>
          <w:spacing w:val="19"/>
        </w:rPr>
        <w:t xml:space="preserve"> </w:t>
      </w:r>
      <w:r>
        <w:t>H.,</w:t>
      </w:r>
      <w:r>
        <w:rPr>
          <w:spacing w:val="19"/>
        </w:rPr>
        <w:t xml:space="preserve"> </w:t>
      </w:r>
      <w:r>
        <w:rPr>
          <w:spacing w:val="-2"/>
        </w:rPr>
        <w:t>Caforio,</w:t>
      </w:r>
    </w:p>
    <w:p w14:paraId="15ECF8C1" w14:textId="1A0BC39B" w:rsidR="00404DB8" w:rsidRDefault="00EE1AF3" w:rsidP="00FA639F">
      <w:pPr>
        <w:pStyle w:val="ListParagraph"/>
        <w:numPr>
          <w:ilvl w:val="0"/>
          <w:numId w:val="1"/>
        </w:numPr>
        <w:tabs>
          <w:tab w:val="left" w:pos="1148"/>
        </w:tabs>
        <w:ind w:right="85" w:firstLine="0"/>
        <w:jc w:val="both"/>
      </w:pPr>
      <w:r>
        <w:t>L. P., Crea, F., Goudevenos, J. A., Halvorsen, S., Hindricks, G., Kastrati, A., Lenzen,</w:t>
      </w:r>
      <w:r w:rsidRPr="00FA639F">
        <w:rPr>
          <w:spacing w:val="75"/>
        </w:rPr>
        <w:t xml:space="preserve"> </w:t>
      </w:r>
      <w:r>
        <w:t>M.</w:t>
      </w:r>
      <w:r w:rsidRPr="00FA639F">
        <w:rPr>
          <w:spacing w:val="75"/>
        </w:rPr>
        <w:t xml:space="preserve"> </w:t>
      </w:r>
      <w:r>
        <w:t>J.,</w:t>
      </w:r>
      <w:r w:rsidRPr="00FA639F">
        <w:rPr>
          <w:spacing w:val="75"/>
        </w:rPr>
        <w:t xml:space="preserve"> </w:t>
      </w:r>
      <w:r>
        <w:t>Prescott,</w:t>
      </w:r>
      <w:r w:rsidRPr="00FA639F">
        <w:rPr>
          <w:spacing w:val="75"/>
        </w:rPr>
        <w:t xml:space="preserve"> </w:t>
      </w:r>
      <w:r>
        <w:t>E.,</w:t>
      </w:r>
      <w:r w:rsidRPr="00FA639F">
        <w:rPr>
          <w:spacing w:val="75"/>
        </w:rPr>
        <w:t xml:space="preserve"> </w:t>
      </w:r>
      <w:r>
        <w:t>Roffi,</w:t>
      </w:r>
      <w:r w:rsidRPr="00FA639F">
        <w:rPr>
          <w:spacing w:val="75"/>
        </w:rPr>
        <w:t xml:space="preserve"> </w:t>
      </w:r>
      <w:r>
        <w:t>M.,</w:t>
      </w:r>
      <w:r w:rsidR="00FA639F">
        <w:t xml:space="preserve"> </w:t>
      </w:r>
      <w:r>
        <w:t>Valgimigli, M., Varenhorst,</w:t>
      </w:r>
      <w:r>
        <w:t xml:space="preserve"> C., Vranckx, P., Widimský, P., … Gale, C. P. (2018). 2017 ESC Guidelines for the management of acute myocardial infarction in patients presenting with ST-segment elevation. </w:t>
      </w:r>
      <w:r w:rsidRPr="00FA639F">
        <w:rPr>
          <w:i/>
        </w:rPr>
        <w:t>European Heart Journal</w:t>
      </w:r>
      <w:r>
        <w:t xml:space="preserve">, </w:t>
      </w:r>
      <w:r w:rsidRPr="00FA639F">
        <w:rPr>
          <w:i/>
        </w:rPr>
        <w:t>39</w:t>
      </w:r>
      <w:r>
        <w:t xml:space="preserve">(2), 119–177. </w:t>
      </w:r>
      <w:r w:rsidRPr="00FA639F">
        <w:rPr>
          <w:spacing w:val="-2"/>
        </w:rPr>
        <w:t>https://doi.org/10.1093/eurheartj/ehx393</w:t>
      </w:r>
    </w:p>
    <w:p w14:paraId="3F0FCD2B" w14:textId="77777777" w:rsidR="00404DB8" w:rsidRDefault="00EE1AF3" w:rsidP="00FA639F">
      <w:pPr>
        <w:pStyle w:val="BodyText"/>
        <w:ind w:left="88"/>
      </w:pPr>
      <w:r>
        <w:t>J</w:t>
      </w:r>
      <w:r>
        <w:t>uzar,</w:t>
      </w:r>
      <w:r>
        <w:rPr>
          <w:spacing w:val="77"/>
        </w:rPr>
        <w:t xml:space="preserve"> </w:t>
      </w:r>
      <w:r>
        <w:t>D.</w:t>
      </w:r>
      <w:r>
        <w:rPr>
          <w:spacing w:val="77"/>
        </w:rPr>
        <w:t xml:space="preserve"> </w:t>
      </w:r>
      <w:r>
        <w:t>A.,</w:t>
      </w:r>
      <w:r>
        <w:rPr>
          <w:spacing w:val="77"/>
        </w:rPr>
        <w:t xml:space="preserve"> </w:t>
      </w:r>
      <w:r>
        <w:t>Muzakkir,</w:t>
      </w:r>
      <w:r>
        <w:rPr>
          <w:spacing w:val="77"/>
        </w:rPr>
        <w:t xml:space="preserve"> </w:t>
      </w:r>
      <w:r>
        <w:t>A.</w:t>
      </w:r>
      <w:r>
        <w:rPr>
          <w:spacing w:val="77"/>
        </w:rPr>
        <w:t xml:space="preserve"> </w:t>
      </w:r>
      <w:r>
        <w:t>F.,</w:t>
      </w:r>
      <w:r>
        <w:rPr>
          <w:spacing w:val="77"/>
        </w:rPr>
        <w:t xml:space="preserve"> </w:t>
      </w:r>
      <w:r>
        <w:t>Ilhami,</w:t>
      </w:r>
      <w:r>
        <w:rPr>
          <w:spacing w:val="77"/>
        </w:rPr>
        <w:t xml:space="preserve"> </w:t>
      </w:r>
      <w:r>
        <w:t>Y.</w:t>
      </w:r>
      <w:r>
        <w:rPr>
          <w:spacing w:val="77"/>
        </w:rPr>
        <w:t xml:space="preserve"> </w:t>
      </w:r>
      <w:r>
        <w:rPr>
          <w:spacing w:val="-5"/>
        </w:rPr>
        <w:t>R.,</w:t>
      </w:r>
    </w:p>
    <w:p w14:paraId="5C3EC848" w14:textId="77777777" w:rsidR="00404DB8" w:rsidRDefault="00EE1AF3" w:rsidP="00FA639F">
      <w:pPr>
        <w:pStyle w:val="BodyText"/>
        <w:ind w:left="808" w:right="85"/>
      </w:pPr>
      <w:r>
        <w:t>Taufiq, N., Astiawati, T., A, I. M. J. R., Pramudyo, M., Priyana, A., Hakim, A., Anjarwani,</w:t>
      </w:r>
      <w:r>
        <w:rPr>
          <w:spacing w:val="21"/>
        </w:rPr>
        <w:t xml:space="preserve"> </w:t>
      </w:r>
      <w:r>
        <w:t>S.,</w:t>
      </w:r>
      <w:r>
        <w:rPr>
          <w:spacing w:val="21"/>
        </w:rPr>
        <w:t xml:space="preserve"> </w:t>
      </w:r>
      <w:r>
        <w:t>Endang,</w:t>
      </w:r>
      <w:r>
        <w:rPr>
          <w:spacing w:val="21"/>
        </w:rPr>
        <w:t xml:space="preserve"> </w:t>
      </w:r>
      <w:r>
        <w:t>J.,</w:t>
      </w:r>
      <w:r>
        <w:rPr>
          <w:spacing w:val="21"/>
        </w:rPr>
        <w:t xml:space="preserve"> </w:t>
      </w:r>
      <w:r>
        <w:t>&amp;</w:t>
      </w:r>
      <w:r>
        <w:rPr>
          <w:spacing w:val="21"/>
        </w:rPr>
        <w:t xml:space="preserve"> </w:t>
      </w:r>
      <w:r>
        <w:rPr>
          <w:spacing w:val="-2"/>
        </w:rPr>
        <w:t>Widyantoro,</w:t>
      </w:r>
    </w:p>
    <w:p w14:paraId="6F964DF1" w14:textId="77777777" w:rsidR="00404DB8" w:rsidRDefault="00EE1AF3" w:rsidP="00FA639F">
      <w:pPr>
        <w:pStyle w:val="ListParagraph"/>
        <w:numPr>
          <w:ilvl w:val="0"/>
          <w:numId w:val="1"/>
        </w:numPr>
        <w:tabs>
          <w:tab w:val="left" w:pos="1282"/>
        </w:tabs>
        <w:ind w:left="807" w:right="86" w:firstLine="0"/>
        <w:jc w:val="both"/>
      </w:pPr>
      <w:r>
        <w:t xml:space="preserve">(2022). Management of Acute Coronary Syndrome Indonesia: Insight from One ACS Multicenter Registry. </w:t>
      </w:r>
      <w:r>
        <w:rPr>
          <w:i/>
        </w:rPr>
        <w:t>Indonesian Journal of Cardiology</w:t>
      </w:r>
      <w:r>
        <w:t xml:space="preserve">, </w:t>
      </w:r>
      <w:r>
        <w:rPr>
          <w:i/>
        </w:rPr>
        <w:t>43</w:t>
      </w:r>
      <w:r>
        <w:t>(2), 45–55. https://doi.org/10.30701/ijc.1406</w:t>
      </w:r>
    </w:p>
    <w:p w14:paraId="743903F1" w14:textId="77777777" w:rsidR="00404DB8" w:rsidRDefault="00EE1AF3" w:rsidP="00FA639F">
      <w:pPr>
        <w:pStyle w:val="BodyText"/>
        <w:ind w:left="807" w:right="85" w:hanging="720"/>
      </w:pPr>
      <w:r>
        <w:t>Rao, S. V., O’Donoghue, M. L., Ruel, M., Rab, T., Tamis-Holland, J. E., Al</w:t>
      </w:r>
      <w:r>
        <w:t>exander, J. H., Baber,</w:t>
      </w:r>
      <w:r>
        <w:rPr>
          <w:spacing w:val="9"/>
        </w:rPr>
        <w:t xml:space="preserve"> </w:t>
      </w:r>
      <w:r>
        <w:t>U.,</w:t>
      </w:r>
      <w:r>
        <w:rPr>
          <w:spacing w:val="9"/>
        </w:rPr>
        <w:t xml:space="preserve"> </w:t>
      </w:r>
      <w:r>
        <w:t>Baker,</w:t>
      </w:r>
      <w:r>
        <w:rPr>
          <w:spacing w:val="9"/>
        </w:rPr>
        <w:t xml:space="preserve"> </w:t>
      </w:r>
      <w:r>
        <w:t>H.,</w:t>
      </w:r>
      <w:r>
        <w:rPr>
          <w:spacing w:val="9"/>
        </w:rPr>
        <w:t xml:space="preserve"> </w:t>
      </w:r>
      <w:r>
        <w:t>Cohen,</w:t>
      </w:r>
      <w:r>
        <w:rPr>
          <w:spacing w:val="9"/>
        </w:rPr>
        <w:t xml:space="preserve"> </w:t>
      </w:r>
      <w:r>
        <w:t>M.</w:t>
      </w:r>
      <w:r>
        <w:rPr>
          <w:spacing w:val="9"/>
        </w:rPr>
        <w:t xml:space="preserve"> </w:t>
      </w:r>
      <w:r>
        <w:t>G.,</w:t>
      </w:r>
      <w:r>
        <w:rPr>
          <w:spacing w:val="9"/>
        </w:rPr>
        <w:t xml:space="preserve"> </w:t>
      </w:r>
      <w:r>
        <w:rPr>
          <w:spacing w:val="-2"/>
        </w:rPr>
        <w:t>Cruz-</w:t>
      </w:r>
    </w:p>
    <w:p w14:paraId="4A593C3F" w14:textId="77777777" w:rsidR="00404DB8" w:rsidRDefault="00EE1AF3" w:rsidP="00FA639F">
      <w:pPr>
        <w:pStyle w:val="BodyText"/>
        <w:ind w:left="807" w:right="85"/>
      </w:pPr>
      <w:r>
        <w:t>Ruiz, M., Davis, L. L., de Lemos, J. A., DeWald,</w:t>
      </w:r>
      <w:r>
        <w:rPr>
          <w:spacing w:val="35"/>
        </w:rPr>
        <w:t xml:space="preserve"> </w:t>
      </w:r>
      <w:r>
        <w:t>T.</w:t>
      </w:r>
      <w:r>
        <w:rPr>
          <w:spacing w:val="35"/>
        </w:rPr>
        <w:t xml:space="preserve"> </w:t>
      </w:r>
      <w:r>
        <w:t>A.,</w:t>
      </w:r>
      <w:r>
        <w:rPr>
          <w:spacing w:val="35"/>
        </w:rPr>
        <w:t xml:space="preserve"> </w:t>
      </w:r>
      <w:r>
        <w:t>Elgendy,</w:t>
      </w:r>
      <w:r>
        <w:rPr>
          <w:spacing w:val="35"/>
        </w:rPr>
        <w:t xml:space="preserve"> </w:t>
      </w:r>
      <w:r>
        <w:t>I.</w:t>
      </w:r>
      <w:r>
        <w:rPr>
          <w:spacing w:val="35"/>
        </w:rPr>
        <w:t xml:space="preserve"> </w:t>
      </w:r>
      <w:r>
        <w:t>Y.,</w:t>
      </w:r>
      <w:r>
        <w:rPr>
          <w:spacing w:val="35"/>
        </w:rPr>
        <w:t xml:space="preserve"> </w:t>
      </w:r>
      <w:r>
        <w:rPr>
          <w:spacing w:val="-2"/>
        </w:rPr>
        <w:t>Feldman,</w:t>
      </w:r>
    </w:p>
    <w:p w14:paraId="5C6914ED" w14:textId="77777777" w:rsidR="00404DB8" w:rsidRDefault="00EE1AF3" w:rsidP="00FA639F">
      <w:pPr>
        <w:pStyle w:val="BodyText"/>
        <w:ind w:left="807"/>
      </w:pPr>
      <w:r>
        <w:t>D.</w:t>
      </w:r>
      <w:r>
        <w:rPr>
          <w:spacing w:val="13"/>
        </w:rPr>
        <w:t xml:space="preserve"> </w:t>
      </w:r>
      <w:r>
        <w:t>N.,</w:t>
      </w:r>
      <w:r>
        <w:rPr>
          <w:spacing w:val="13"/>
        </w:rPr>
        <w:t xml:space="preserve"> </w:t>
      </w:r>
      <w:r>
        <w:t>Goyal,</w:t>
      </w:r>
      <w:r>
        <w:rPr>
          <w:spacing w:val="13"/>
        </w:rPr>
        <w:t xml:space="preserve"> </w:t>
      </w:r>
      <w:r>
        <w:t>A.,</w:t>
      </w:r>
      <w:r>
        <w:rPr>
          <w:spacing w:val="13"/>
        </w:rPr>
        <w:t xml:space="preserve"> </w:t>
      </w:r>
      <w:r>
        <w:t>Isiadinso,</w:t>
      </w:r>
      <w:r>
        <w:rPr>
          <w:spacing w:val="13"/>
        </w:rPr>
        <w:t xml:space="preserve"> </w:t>
      </w:r>
      <w:r>
        <w:t>I.,</w:t>
      </w:r>
      <w:r>
        <w:rPr>
          <w:spacing w:val="13"/>
        </w:rPr>
        <w:t xml:space="preserve"> </w:t>
      </w:r>
      <w:r>
        <w:t>Menon,</w:t>
      </w:r>
      <w:r>
        <w:rPr>
          <w:spacing w:val="13"/>
        </w:rPr>
        <w:t xml:space="preserve"> </w:t>
      </w:r>
      <w:r>
        <w:rPr>
          <w:spacing w:val="-5"/>
        </w:rPr>
        <w:t>V.,</w:t>
      </w:r>
    </w:p>
    <w:p w14:paraId="4654B259" w14:textId="77777777" w:rsidR="00404DB8" w:rsidRDefault="00EE1AF3" w:rsidP="00FA639F">
      <w:pPr>
        <w:pStyle w:val="BodyText"/>
        <w:ind w:left="807" w:right="85"/>
      </w:pPr>
      <w:r>
        <w:t>Morrow,</w:t>
      </w:r>
      <w:r>
        <w:rPr>
          <w:spacing w:val="-4"/>
        </w:rPr>
        <w:t xml:space="preserve"> </w:t>
      </w:r>
      <w:r>
        <w:t>D.</w:t>
      </w:r>
      <w:r>
        <w:rPr>
          <w:spacing w:val="-4"/>
        </w:rPr>
        <w:t xml:space="preserve"> </w:t>
      </w:r>
      <w:r>
        <w:t>A.,</w:t>
      </w:r>
      <w:r>
        <w:rPr>
          <w:spacing w:val="-4"/>
        </w:rPr>
        <w:t xml:space="preserve"> </w:t>
      </w:r>
      <w:r>
        <w:t>…</w:t>
      </w:r>
      <w:r>
        <w:rPr>
          <w:spacing w:val="-4"/>
        </w:rPr>
        <w:t xml:space="preserve"> </w:t>
      </w:r>
      <w:r>
        <w:t>Williams,</w:t>
      </w:r>
      <w:r>
        <w:rPr>
          <w:spacing w:val="-4"/>
        </w:rPr>
        <w:t xml:space="preserve"> </w:t>
      </w:r>
      <w:r>
        <w:t>M.</w:t>
      </w:r>
      <w:r>
        <w:rPr>
          <w:spacing w:val="-4"/>
        </w:rPr>
        <w:t xml:space="preserve"> </w:t>
      </w:r>
      <w:r>
        <w:t>S.</w:t>
      </w:r>
      <w:r>
        <w:rPr>
          <w:spacing w:val="-4"/>
        </w:rPr>
        <w:t xml:space="preserve"> </w:t>
      </w:r>
      <w:r>
        <w:t>(2025). 2025</w:t>
      </w:r>
      <w:r>
        <w:rPr>
          <w:spacing w:val="60"/>
        </w:rPr>
        <w:t xml:space="preserve">  </w:t>
      </w:r>
      <w:r>
        <w:rPr>
          <w:spacing w:val="-2"/>
        </w:rPr>
        <w:t>ACC/AHA/ACEP/NAEMSP/SCAI</w:t>
      </w:r>
    </w:p>
    <w:p w14:paraId="3A4AC98A" w14:textId="77777777" w:rsidR="00404DB8" w:rsidRDefault="00EE1AF3" w:rsidP="00FA639F">
      <w:pPr>
        <w:pStyle w:val="BodyText"/>
        <w:tabs>
          <w:tab w:val="left" w:pos="3562"/>
        </w:tabs>
        <w:ind w:left="807" w:right="85"/>
      </w:pPr>
      <w:r>
        <w:t>G</w:t>
      </w:r>
      <w:r>
        <w:t xml:space="preserve">uideline for the Management of Patients With Acute Coronary Syndromes. </w:t>
      </w:r>
      <w:r>
        <w:rPr>
          <w:i/>
        </w:rPr>
        <w:t>JACC</w:t>
      </w:r>
      <w:r>
        <w:t xml:space="preserve">, </w:t>
      </w:r>
      <w:r>
        <w:rPr>
          <w:i/>
          <w:spacing w:val="-2"/>
        </w:rPr>
        <w:t>85</w:t>
      </w:r>
      <w:r>
        <w:rPr>
          <w:spacing w:val="-2"/>
        </w:rPr>
        <w:t>(22),</w:t>
      </w:r>
      <w:r>
        <w:tab/>
      </w:r>
      <w:r>
        <w:rPr>
          <w:spacing w:val="-2"/>
        </w:rPr>
        <w:t>2135–2237.</w:t>
      </w:r>
    </w:p>
    <w:p w14:paraId="6222785D" w14:textId="77777777" w:rsidR="00404DB8" w:rsidRDefault="00EE1AF3" w:rsidP="00FA639F">
      <w:pPr>
        <w:pStyle w:val="BodyText"/>
        <w:ind w:right="86" w:firstLine="720"/>
      </w:pPr>
      <w:r>
        <w:rPr>
          <w:spacing w:val="-2"/>
        </w:rPr>
        <w:t xml:space="preserve">https://doi.org/10.1016/j.jacc.2024.11.009 </w:t>
      </w:r>
      <w:r>
        <w:t>Stephanus,</w:t>
      </w:r>
      <w:r>
        <w:rPr>
          <w:spacing w:val="69"/>
        </w:rPr>
        <w:t xml:space="preserve"> </w:t>
      </w:r>
      <w:r>
        <w:t>A.</w:t>
      </w:r>
      <w:r>
        <w:rPr>
          <w:spacing w:val="69"/>
        </w:rPr>
        <w:t xml:space="preserve"> </w:t>
      </w:r>
      <w:r>
        <w:t>D.,</w:t>
      </w:r>
      <w:r>
        <w:rPr>
          <w:spacing w:val="69"/>
        </w:rPr>
        <w:t xml:space="preserve"> </w:t>
      </w:r>
      <w:r>
        <w:t>Santos,</w:t>
      </w:r>
      <w:r>
        <w:rPr>
          <w:spacing w:val="69"/>
        </w:rPr>
        <w:t xml:space="preserve"> </w:t>
      </w:r>
      <w:r>
        <w:t>A.</w:t>
      </w:r>
      <w:r>
        <w:rPr>
          <w:spacing w:val="69"/>
        </w:rPr>
        <w:t xml:space="preserve"> </w:t>
      </w:r>
      <w:r>
        <w:t>P.,</w:t>
      </w:r>
      <w:r>
        <w:rPr>
          <w:spacing w:val="69"/>
        </w:rPr>
        <w:t xml:space="preserve"> </w:t>
      </w:r>
      <w:r>
        <w:t>Rodrigues</w:t>
      </w:r>
      <w:r>
        <w:rPr>
          <w:spacing w:val="69"/>
        </w:rPr>
        <w:t xml:space="preserve"> </w:t>
      </w:r>
      <w:r>
        <w:rPr>
          <w:spacing w:val="-5"/>
        </w:rPr>
        <w:t>da</w:t>
      </w:r>
    </w:p>
    <w:p w14:paraId="5F7081B1" w14:textId="77777777" w:rsidR="00404DB8" w:rsidRDefault="00EE1AF3" w:rsidP="00FA639F">
      <w:pPr>
        <w:pStyle w:val="BodyText"/>
        <w:ind w:left="807" w:right="85"/>
      </w:pPr>
      <w:r>
        <w:t xml:space="preserve">Cunha, A. C. M., Rocha, A. C. A., Meireles, A. de A., de Oliveira, M. </w:t>
      </w:r>
      <w:r>
        <w:t>G. S., Matsunaga, P. A. C., Soares, A. A. de S. M.,</w:t>
      </w:r>
      <w:r>
        <w:rPr>
          <w:spacing w:val="19"/>
        </w:rPr>
        <w:t xml:space="preserve"> </w:t>
      </w:r>
      <w:r>
        <w:t>Nogueira,</w:t>
      </w:r>
      <w:r>
        <w:rPr>
          <w:spacing w:val="19"/>
        </w:rPr>
        <w:t xml:space="preserve"> </w:t>
      </w:r>
      <w:r>
        <w:t>A.</w:t>
      </w:r>
      <w:r>
        <w:rPr>
          <w:spacing w:val="19"/>
        </w:rPr>
        <w:t xml:space="preserve"> </w:t>
      </w:r>
      <w:r>
        <w:t>C.</w:t>
      </w:r>
      <w:r>
        <w:rPr>
          <w:spacing w:val="19"/>
        </w:rPr>
        <w:t xml:space="preserve"> </w:t>
      </w:r>
      <w:r>
        <w:t>C.,</w:t>
      </w:r>
      <w:r>
        <w:rPr>
          <w:spacing w:val="19"/>
        </w:rPr>
        <w:t xml:space="preserve"> </w:t>
      </w:r>
      <w:r>
        <w:t>Guimarães,</w:t>
      </w:r>
      <w:r>
        <w:rPr>
          <w:spacing w:val="19"/>
        </w:rPr>
        <w:t xml:space="preserve"> </w:t>
      </w:r>
      <w:r>
        <w:t>A.</w:t>
      </w:r>
      <w:r>
        <w:rPr>
          <w:spacing w:val="19"/>
        </w:rPr>
        <w:t xml:space="preserve"> </w:t>
      </w:r>
      <w:r>
        <w:rPr>
          <w:spacing w:val="-5"/>
        </w:rPr>
        <w:lastRenderedPageBreak/>
        <w:t>de</w:t>
      </w:r>
    </w:p>
    <w:p w14:paraId="7A2C5171" w14:textId="77777777" w:rsidR="00404DB8" w:rsidRDefault="00EE1AF3" w:rsidP="00FA639F">
      <w:pPr>
        <w:pStyle w:val="BodyText"/>
        <w:ind w:left="807" w:right="86"/>
      </w:pPr>
      <w:r>
        <w:t>J. B. de A., Alexim, G. de A., Campos- Staffico, A. M., &amp; de Carvalho, L. S. F. (2025). Optimal timing of pharmacoinvasive strategy and its impact on clinical and econ</w:t>
      </w:r>
      <w:r>
        <w:t xml:space="preserve">omic outcomes in patients with ST-elevation myocardial infarction: A real-world perspective. </w:t>
      </w:r>
      <w:r>
        <w:rPr>
          <w:i/>
        </w:rPr>
        <w:t>Frontiers in Cardiovascular Medicine</w:t>
      </w:r>
      <w:r>
        <w:t xml:space="preserve">, </w:t>
      </w:r>
      <w:r>
        <w:rPr>
          <w:i/>
        </w:rPr>
        <w:t>11</w:t>
      </w:r>
      <w:r>
        <w:t xml:space="preserve">. </w:t>
      </w:r>
      <w:r>
        <w:rPr>
          <w:spacing w:val="-2"/>
        </w:rPr>
        <w:t>https://doi.org/10.3389/fcvm.2024.146696</w:t>
      </w:r>
      <w:r>
        <w:rPr>
          <w:spacing w:val="40"/>
        </w:rPr>
        <w:t xml:space="preserve"> </w:t>
      </w:r>
      <w:r>
        <w:rPr>
          <w:spacing w:val="-10"/>
        </w:rPr>
        <w:t>1</w:t>
      </w:r>
    </w:p>
    <w:p w14:paraId="1CF770E1" w14:textId="2DC605A1" w:rsidR="00FA639F" w:rsidRPr="00FA639F" w:rsidRDefault="00EE1AF3" w:rsidP="00FA639F">
      <w:pPr>
        <w:pStyle w:val="BodyText"/>
        <w:ind w:left="807" w:right="86" w:hanging="720"/>
        <w:rPr>
          <w:spacing w:val="-2"/>
        </w:rPr>
      </w:pPr>
      <w:r>
        <w:t xml:space="preserve">Wician, F. (2025). </w:t>
      </w:r>
      <w:r w:rsidRPr="00FA639F">
        <w:t>Survei Pasien Penyakit Jantung Koroner yang Memenuhi Target</w:t>
      </w:r>
      <w:r w:rsidRPr="00FA639F">
        <w:t xml:space="preserve"> Pencegahan Sekunder di De La Salle University</w:t>
      </w:r>
      <w:r w:rsidRPr="00FA639F">
        <w:rPr>
          <w:spacing w:val="-3"/>
        </w:rPr>
        <w:t xml:space="preserve"> </w:t>
      </w:r>
      <w:r w:rsidRPr="00FA639F">
        <w:t>Medical</w:t>
      </w:r>
      <w:r w:rsidRPr="00FA639F">
        <w:rPr>
          <w:spacing w:val="-3"/>
        </w:rPr>
        <w:t xml:space="preserve"> </w:t>
      </w:r>
      <w:r w:rsidRPr="00FA639F">
        <w:t>Center.</w:t>
      </w:r>
      <w:r w:rsidRPr="00FA639F">
        <w:rPr>
          <w:spacing w:val="-2"/>
        </w:rPr>
        <w:t xml:space="preserve"> </w:t>
      </w:r>
      <w:r w:rsidRPr="00FA639F">
        <w:rPr>
          <w:i/>
        </w:rPr>
        <w:t>Jurnal</w:t>
      </w:r>
      <w:r w:rsidRPr="00FA639F">
        <w:rPr>
          <w:i/>
          <w:spacing w:val="-3"/>
        </w:rPr>
        <w:t xml:space="preserve"> </w:t>
      </w:r>
      <w:r w:rsidRPr="00FA639F">
        <w:rPr>
          <w:i/>
        </w:rPr>
        <w:t>Ners</w:t>
      </w:r>
      <w:r w:rsidRPr="00FA639F">
        <w:t>,</w:t>
      </w:r>
      <w:r w:rsidRPr="00FA639F">
        <w:rPr>
          <w:spacing w:val="-3"/>
        </w:rPr>
        <w:t xml:space="preserve"> </w:t>
      </w:r>
      <w:r w:rsidRPr="00FA639F">
        <w:rPr>
          <w:i/>
        </w:rPr>
        <w:t>9</w:t>
      </w:r>
      <w:r w:rsidRPr="00FA639F">
        <w:t xml:space="preserve">, </w:t>
      </w:r>
      <w:r w:rsidRPr="00FA639F">
        <w:rPr>
          <w:spacing w:val="-2"/>
        </w:rPr>
        <w:t>3683–3691.</w:t>
      </w:r>
      <w:r w:rsidR="00FA639F" w:rsidRPr="00FA639F">
        <w:rPr>
          <w:spacing w:val="-2"/>
        </w:rPr>
        <w:t xml:space="preserve"> </w:t>
      </w:r>
      <w:hyperlink r:id="rId23" w:history="1">
        <w:r w:rsidR="00FA639F" w:rsidRPr="00FA639F">
          <w:rPr>
            <w:rStyle w:val="Hyperlink"/>
            <w:color w:val="auto"/>
            <w:spacing w:val="-2"/>
            <w:u w:val="none"/>
          </w:rPr>
          <w:t>https://doi.org/10.31004/jn.v9i3.44644</w:t>
        </w:r>
      </w:hyperlink>
    </w:p>
    <w:p w14:paraId="1A6D9E6E" w14:textId="5BB23536" w:rsidR="00404DB8" w:rsidRDefault="00EE1AF3" w:rsidP="00FA639F">
      <w:pPr>
        <w:pStyle w:val="BodyText"/>
        <w:ind w:left="851" w:right="85" w:hanging="851"/>
      </w:pPr>
      <w:r w:rsidRPr="00FA639F">
        <w:t>Zeymer,</w:t>
      </w:r>
      <w:r w:rsidRPr="00FA639F">
        <w:rPr>
          <w:spacing w:val="47"/>
        </w:rPr>
        <w:t xml:space="preserve"> </w:t>
      </w:r>
      <w:r w:rsidRPr="00FA639F">
        <w:t>U.,</w:t>
      </w:r>
      <w:r w:rsidRPr="00FA639F">
        <w:rPr>
          <w:spacing w:val="47"/>
        </w:rPr>
        <w:t xml:space="preserve"> </w:t>
      </w:r>
      <w:r w:rsidRPr="00FA639F">
        <w:t>Ludman,</w:t>
      </w:r>
      <w:r w:rsidRPr="00FA639F">
        <w:rPr>
          <w:spacing w:val="47"/>
        </w:rPr>
        <w:t xml:space="preserve"> </w:t>
      </w:r>
      <w:r w:rsidRPr="00FA639F">
        <w:t>P.,</w:t>
      </w:r>
      <w:r w:rsidRPr="00FA639F">
        <w:rPr>
          <w:spacing w:val="47"/>
        </w:rPr>
        <w:t xml:space="preserve"> </w:t>
      </w:r>
      <w:r w:rsidRPr="00FA639F">
        <w:t>Danchin,</w:t>
      </w:r>
      <w:r w:rsidRPr="00FA639F">
        <w:rPr>
          <w:spacing w:val="47"/>
        </w:rPr>
        <w:t xml:space="preserve"> </w:t>
      </w:r>
      <w:r w:rsidRPr="00FA639F">
        <w:t>N.,</w:t>
      </w:r>
      <w:r w:rsidRPr="00FA639F">
        <w:rPr>
          <w:spacing w:val="47"/>
        </w:rPr>
        <w:t xml:space="preserve"> </w:t>
      </w:r>
      <w:r w:rsidRPr="00FA639F">
        <w:t>Kala,</w:t>
      </w:r>
      <w:r w:rsidR="00FA639F" w:rsidRPr="00FA639F">
        <w:t xml:space="preserve"> </w:t>
      </w:r>
      <w:r w:rsidRPr="00FA639F">
        <w:rPr>
          <w:spacing w:val="-5"/>
        </w:rPr>
        <w:t>P.,</w:t>
      </w:r>
      <w:r w:rsidR="00FA639F" w:rsidRPr="00FA639F">
        <w:rPr>
          <w:spacing w:val="-5"/>
        </w:rPr>
        <w:t xml:space="preserve"> </w:t>
      </w:r>
      <w:r w:rsidRPr="00FA639F">
        <w:t>Laroche, C., Sadeghi</w:t>
      </w:r>
      <w:r>
        <w:t>, M., Caporale, R., Shaheen, S. M., Legutko, J., Iakobsishvi</w:t>
      </w:r>
      <w:r>
        <w:t>li, Z., Alhabib, K. F., Motovska, Z., Studencan, M., Mimoso, J., Becker, D., Alexopoulos, D., Kereseselidze, Z., Stojkovic, S., Zelveian, P., … ACVC EAPCI EORP ACS STEMI investigators group of the ESC. (2021). Reperfusion therapies and in-hospital outcomes</w:t>
      </w:r>
      <w:r>
        <w:t xml:space="preserve"> for ST- elevation myocardial infarction in Europe: The</w:t>
      </w:r>
      <w:r>
        <w:rPr>
          <w:spacing w:val="68"/>
          <w:w w:val="150"/>
        </w:rPr>
        <w:t xml:space="preserve">  </w:t>
      </w:r>
      <w:r>
        <w:t>ACVC-EAPCI</w:t>
      </w:r>
      <w:r>
        <w:rPr>
          <w:spacing w:val="68"/>
          <w:w w:val="150"/>
        </w:rPr>
        <w:t xml:space="preserve">  </w:t>
      </w:r>
      <w:r>
        <w:t>EORP</w:t>
      </w:r>
      <w:r>
        <w:rPr>
          <w:spacing w:val="69"/>
          <w:w w:val="150"/>
        </w:rPr>
        <w:t xml:space="preserve">  </w:t>
      </w:r>
      <w:r>
        <w:rPr>
          <w:spacing w:val="-2"/>
        </w:rPr>
        <w:t>STEMI</w:t>
      </w:r>
      <w:r w:rsidR="00FA639F">
        <w:rPr>
          <w:spacing w:val="-2"/>
        </w:rPr>
        <w:t xml:space="preserve"> </w:t>
      </w:r>
      <w:r>
        <w:t>Registry</w:t>
      </w:r>
      <w:r>
        <w:rPr>
          <w:spacing w:val="36"/>
        </w:rPr>
        <w:t xml:space="preserve">  </w:t>
      </w:r>
      <w:r>
        <w:t>of</w:t>
      </w:r>
      <w:r>
        <w:rPr>
          <w:spacing w:val="36"/>
        </w:rPr>
        <w:t xml:space="preserve">  </w:t>
      </w:r>
      <w:r>
        <w:t>the</w:t>
      </w:r>
      <w:r>
        <w:rPr>
          <w:spacing w:val="36"/>
        </w:rPr>
        <w:t xml:space="preserve">  </w:t>
      </w:r>
      <w:r>
        <w:t>European</w:t>
      </w:r>
      <w:r>
        <w:rPr>
          <w:spacing w:val="37"/>
        </w:rPr>
        <w:t xml:space="preserve">  </w:t>
      </w:r>
      <w:r>
        <w:t>Society</w:t>
      </w:r>
      <w:r>
        <w:rPr>
          <w:spacing w:val="36"/>
        </w:rPr>
        <w:t xml:space="preserve">  </w:t>
      </w:r>
      <w:r>
        <w:rPr>
          <w:spacing w:val="-5"/>
        </w:rPr>
        <w:t>of</w:t>
      </w:r>
      <w:r w:rsidR="00FA639F">
        <w:rPr>
          <w:spacing w:val="-5"/>
        </w:rPr>
        <w:t xml:space="preserve"> </w:t>
      </w:r>
      <w:r>
        <w:rPr>
          <w:spacing w:val="-2"/>
        </w:rPr>
        <w:t>Cardiology.</w:t>
      </w:r>
      <w:r>
        <w:tab/>
      </w:r>
      <w:r>
        <w:rPr>
          <w:i/>
          <w:spacing w:val="-2"/>
        </w:rPr>
        <w:t>European</w:t>
      </w:r>
      <w:r w:rsidR="00FA639F">
        <w:rPr>
          <w:i/>
          <w:spacing w:val="-2"/>
        </w:rPr>
        <w:t xml:space="preserve"> </w:t>
      </w:r>
      <w:r>
        <w:rPr>
          <w:i/>
          <w:spacing w:val="-2"/>
        </w:rPr>
        <w:t>Heart</w:t>
      </w:r>
      <w:r>
        <w:rPr>
          <w:i/>
        </w:rPr>
        <w:tab/>
      </w:r>
      <w:r>
        <w:rPr>
          <w:i/>
          <w:spacing w:val="-2"/>
        </w:rPr>
        <w:t>Journal</w:t>
      </w:r>
      <w:r>
        <w:rPr>
          <w:spacing w:val="-2"/>
        </w:rPr>
        <w:t xml:space="preserve">, </w:t>
      </w:r>
      <w:r>
        <w:rPr>
          <w:i/>
          <w:spacing w:val="-2"/>
        </w:rPr>
        <w:t>42</w:t>
      </w:r>
      <w:r>
        <w:rPr>
          <w:spacing w:val="-2"/>
        </w:rPr>
        <w:t>(44),</w:t>
      </w:r>
      <w:r>
        <w:tab/>
      </w:r>
      <w:r w:rsidR="00FA639F">
        <w:t xml:space="preserve"> </w:t>
      </w:r>
      <w:r>
        <w:rPr>
          <w:spacing w:val="-2"/>
        </w:rPr>
        <w:t>4536–4549.</w:t>
      </w:r>
      <w:r w:rsidR="00FA639F">
        <w:rPr>
          <w:spacing w:val="-2"/>
        </w:rPr>
        <w:t xml:space="preserve"> </w:t>
      </w:r>
      <w:r>
        <w:rPr>
          <w:spacing w:val="-2"/>
        </w:rPr>
        <w:t>https://doi.org/10.1093/eurheartj/ehab342</w:t>
      </w:r>
    </w:p>
    <w:sectPr w:rsidR="00404DB8" w:rsidSect="00FA639F">
      <w:headerReference w:type="default" r:id="rId24"/>
      <w:footerReference w:type="default" r:id="rId25"/>
      <w:pgSz w:w="11910" w:h="18720"/>
      <w:pgMar w:top="1260" w:right="992" w:bottom="1260" w:left="992" w:header="864" w:footer="1065" w:gutter="0"/>
      <w:cols w:num="2"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744B21" w15:done="0"/>
  <w15:commentEx w15:paraId="672F07D2" w15:done="0"/>
  <w15:commentEx w15:paraId="0303CB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4E7A5B" w16cex:dateUtc="2025-09-27T17:18:00Z"/>
  <w16cex:commentExtensible w16cex:durableId="134B6B66" w16cex:dateUtc="2025-09-29T11:17:00Z"/>
  <w16cex:commentExtensible w16cex:durableId="538D737E" w16cex:dateUtc="2025-09-29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744B21" w16cid:durableId="3A4E7A5B"/>
  <w16cid:commentId w16cid:paraId="672F07D2" w16cid:durableId="134B6B66"/>
  <w16cid:commentId w16cid:paraId="0303CBAC" w16cid:durableId="538D73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69CE3" w14:textId="77777777" w:rsidR="00EE1AF3" w:rsidRDefault="00EE1AF3">
      <w:r>
        <w:separator/>
      </w:r>
    </w:p>
  </w:endnote>
  <w:endnote w:type="continuationSeparator" w:id="0">
    <w:p w14:paraId="216A2055" w14:textId="77777777" w:rsidR="00EE1AF3" w:rsidRDefault="00EE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DE49B" w14:textId="77777777" w:rsidR="00FA639F" w:rsidRPr="006A035C" w:rsidRDefault="00FA639F" w:rsidP="00FA639F">
    <w:pPr>
      <w:pStyle w:val="Footer"/>
      <w:pBdr>
        <w:top w:val="thinThickSmallGap" w:sz="24" w:space="1"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BB956" w14:textId="77777777" w:rsidR="00FA639F" w:rsidRPr="006A035C" w:rsidRDefault="00FA639F" w:rsidP="00FA639F">
    <w:pPr>
      <w:pStyle w:val="Footer"/>
      <w:pBdr>
        <w:top w:val="thinThickSmallGap" w:sz="24" w:space="1"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9A0CD" w14:textId="77777777" w:rsidR="00FA639F" w:rsidRPr="006A035C" w:rsidRDefault="00FA639F" w:rsidP="00FA639F">
    <w:pPr>
      <w:pStyle w:val="Footer"/>
      <w:pBdr>
        <w:top w:val="thinThickSmallGap" w:sz="24" w:space="1"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ECDEA" w14:textId="77777777" w:rsidR="00EE1AF3" w:rsidRDefault="00EE1AF3">
      <w:r>
        <w:separator/>
      </w:r>
    </w:p>
  </w:footnote>
  <w:footnote w:type="continuationSeparator" w:id="0">
    <w:p w14:paraId="701D06EC" w14:textId="77777777" w:rsidR="00EE1AF3" w:rsidRDefault="00EE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5D3D4" w14:textId="677516A3" w:rsidR="00FA639F" w:rsidRDefault="00FA639F" w:rsidP="00FA639F">
    <w:pPr>
      <w:pStyle w:val="Header"/>
      <w:ind w:left="142"/>
      <w:rPr>
        <w:rFonts w:ascii="Calibri" w:hAnsi="Calibri" w:cs="Calibri"/>
      </w:rPr>
    </w:pPr>
    <w:r w:rsidRPr="00A83DC0">
      <w:rPr>
        <w:rFonts w:ascii="Calibri" w:hAnsi="Calibri" w:cs="Calibri"/>
      </w:rPr>
      <w:fldChar w:fldCharType="begin"/>
    </w:r>
    <w:r w:rsidRPr="00A83DC0">
      <w:rPr>
        <w:rFonts w:ascii="Calibri" w:hAnsi="Calibri" w:cs="Calibri"/>
      </w:rPr>
      <w:instrText xml:space="preserve"> PAGE   \* MERGEFORMAT </w:instrText>
    </w:r>
    <w:r w:rsidRPr="00A83DC0">
      <w:rPr>
        <w:rFonts w:ascii="Calibri" w:hAnsi="Calibri" w:cs="Calibri"/>
      </w:rPr>
      <w:fldChar w:fldCharType="separate"/>
    </w:r>
    <w:r w:rsidR="00D6089E" w:rsidRPr="00D6089E">
      <w:rPr>
        <w:rFonts w:ascii="Calibri" w:hAnsi="Calibri" w:cs="Calibri"/>
        <w:bCs/>
        <w:noProof/>
      </w:rPr>
      <w:t>6279</w:t>
    </w:r>
    <w:r w:rsidRPr="00A83DC0">
      <w:rPr>
        <w:rFonts w:ascii="Calibri" w:hAnsi="Calibri" w:cs="Calibri"/>
        <w:bCs/>
        <w:noProof/>
      </w:rPr>
      <w:fldChar w:fldCharType="end"/>
    </w:r>
    <w:r w:rsidRPr="00A83DC0">
      <w:rPr>
        <w:rFonts w:ascii="Calibri" w:hAnsi="Calibri" w:cs="Calibri"/>
      </w:rPr>
      <w:t xml:space="preserve">| </w:t>
    </w:r>
    <w:r w:rsidRPr="00FA639F">
      <w:rPr>
        <w:rFonts w:ascii="Calibri" w:hAnsi="Calibri" w:cs="Calibri"/>
      </w:rPr>
      <w:t>EFFECTIVENESS OF FIBRINOLYTIC THERAPY IN ST-ELEVATION MYOCARDIAL INFARCTION PATIENT IN ARCHIPELAGO AREA</w:t>
    </w:r>
  </w:p>
  <w:p w14:paraId="4AA8F06B" w14:textId="3BB6C239" w:rsidR="00404DB8" w:rsidRPr="00FA639F" w:rsidRDefault="00404DB8" w:rsidP="00FA6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4E108" w14:textId="77777777" w:rsidR="00FA639F" w:rsidRDefault="00FA639F" w:rsidP="00FA639F">
    <w:pPr>
      <w:pStyle w:val="Header"/>
      <w:ind w:left="142"/>
      <w:rPr>
        <w:rFonts w:ascii="Calibri" w:hAnsi="Calibri" w:cs="Calibri"/>
      </w:rPr>
    </w:pPr>
    <w:r w:rsidRPr="00A83DC0">
      <w:rPr>
        <w:rFonts w:ascii="Calibri" w:hAnsi="Calibri" w:cs="Calibri"/>
      </w:rPr>
      <w:fldChar w:fldCharType="begin"/>
    </w:r>
    <w:r w:rsidRPr="00A83DC0">
      <w:rPr>
        <w:rFonts w:ascii="Calibri" w:hAnsi="Calibri" w:cs="Calibri"/>
      </w:rPr>
      <w:instrText xml:space="preserve"> PAGE   \* MERGEFORMAT </w:instrText>
    </w:r>
    <w:r w:rsidRPr="00A83DC0">
      <w:rPr>
        <w:rFonts w:ascii="Calibri" w:hAnsi="Calibri" w:cs="Calibri"/>
      </w:rPr>
      <w:fldChar w:fldCharType="separate"/>
    </w:r>
    <w:r w:rsidR="00D6089E" w:rsidRPr="00D6089E">
      <w:rPr>
        <w:rFonts w:ascii="Calibri" w:hAnsi="Calibri" w:cs="Calibri"/>
        <w:bCs/>
        <w:noProof/>
      </w:rPr>
      <w:t>6282</w:t>
    </w:r>
    <w:r w:rsidRPr="00A83DC0">
      <w:rPr>
        <w:rFonts w:ascii="Calibri" w:hAnsi="Calibri" w:cs="Calibri"/>
        <w:bCs/>
        <w:noProof/>
      </w:rPr>
      <w:fldChar w:fldCharType="end"/>
    </w:r>
    <w:r w:rsidRPr="00A83DC0">
      <w:rPr>
        <w:rFonts w:ascii="Calibri" w:hAnsi="Calibri" w:cs="Calibri"/>
      </w:rPr>
      <w:t xml:space="preserve">| </w:t>
    </w:r>
    <w:r w:rsidRPr="00FA639F">
      <w:rPr>
        <w:rFonts w:ascii="Calibri" w:hAnsi="Calibri" w:cs="Calibri"/>
      </w:rPr>
      <w:t>EFFECTIVENESS OF FIBRINOLYTIC THERAPY IN ST-ELEVATION MYOCARDIAL INFARCTION PATIENT IN ARCHIPELAGO AREA</w:t>
    </w:r>
  </w:p>
  <w:p w14:paraId="35E9D7CB" w14:textId="163CE4DE" w:rsidR="00404DB8" w:rsidRPr="00FA639F" w:rsidRDefault="00404DB8" w:rsidP="00FA63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87696"/>
    <w:multiLevelType w:val="hybridMultilevel"/>
    <w:tmpl w:val="6A721796"/>
    <w:lvl w:ilvl="0" w:tplc="23804E7E">
      <w:start w:val="1"/>
      <w:numFmt w:val="bullet"/>
      <w:lvlText w:val=""/>
      <w:lvlJc w:val="left"/>
      <w:pPr>
        <w:ind w:left="1080" w:hanging="360"/>
      </w:pPr>
      <w:rPr>
        <w:rFonts w:ascii="Symbol" w:hAnsi="Symbol"/>
      </w:rPr>
    </w:lvl>
    <w:lvl w:ilvl="1" w:tplc="D164A4F6">
      <w:start w:val="1"/>
      <w:numFmt w:val="bullet"/>
      <w:lvlText w:val=""/>
      <w:lvlJc w:val="left"/>
      <w:pPr>
        <w:ind w:left="1080" w:hanging="360"/>
      </w:pPr>
      <w:rPr>
        <w:rFonts w:ascii="Symbol" w:hAnsi="Symbol"/>
      </w:rPr>
    </w:lvl>
    <w:lvl w:ilvl="2" w:tplc="F49CA75C">
      <w:start w:val="1"/>
      <w:numFmt w:val="bullet"/>
      <w:lvlText w:val=""/>
      <w:lvlJc w:val="left"/>
      <w:pPr>
        <w:ind w:left="1080" w:hanging="360"/>
      </w:pPr>
      <w:rPr>
        <w:rFonts w:ascii="Symbol" w:hAnsi="Symbol"/>
      </w:rPr>
    </w:lvl>
    <w:lvl w:ilvl="3" w:tplc="22C40644">
      <w:start w:val="1"/>
      <w:numFmt w:val="bullet"/>
      <w:lvlText w:val=""/>
      <w:lvlJc w:val="left"/>
      <w:pPr>
        <w:ind w:left="1080" w:hanging="360"/>
      </w:pPr>
      <w:rPr>
        <w:rFonts w:ascii="Symbol" w:hAnsi="Symbol"/>
      </w:rPr>
    </w:lvl>
    <w:lvl w:ilvl="4" w:tplc="D25A7B9C">
      <w:start w:val="1"/>
      <w:numFmt w:val="bullet"/>
      <w:lvlText w:val=""/>
      <w:lvlJc w:val="left"/>
      <w:pPr>
        <w:ind w:left="1080" w:hanging="360"/>
      </w:pPr>
      <w:rPr>
        <w:rFonts w:ascii="Symbol" w:hAnsi="Symbol"/>
      </w:rPr>
    </w:lvl>
    <w:lvl w:ilvl="5" w:tplc="7542F390">
      <w:start w:val="1"/>
      <w:numFmt w:val="bullet"/>
      <w:lvlText w:val=""/>
      <w:lvlJc w:val="left"/>
      <w:pPr>
        <w:ind w:left="1080" w:hanging="360"/>
      </w:pPr>
      <w:rPr>
        <w:rFonts w:ascii="Symbol" w:hAnsi="Symbol"/>
      </w:rPr>
    </w:lvl>
    <w:lvl w:ilvl="6" w:tplc="8FD2E624">
      <w:start w:val="1"/>
      <w:numFmt w:val="bullet"/>
      <w:lvlText w:val=""/>
      <w:lvlJc w:val="left"/>
      <w:pPr>
        <w:ind w:left="1080" w:hanging="360"/>
      </w:pPr>
      <w:rPr>
        <w:rFonts w:ascii="Symbol" w:hAnsi="Symbol"/>
      </w:rPr>
    </w:lvl>
    <w:lvl w:ilvl="7" w:tplc="B61A945E">
      <w:start w:val="1"/>
      <w:numFmt w:val="bullet"/>
      <w:lvlText w:val=""/>
      <w:lvlJc w:val="left"/>
      <w:pPr>
        <w:ind w:left="1080" w:hanging="360"/>
      </w:pPr>
      <w:rPr>
        <w:rFonts w:ascii="Symbol" w:hAnsi="Symbol"/>
      </w:rPr>
    </w:lvl>
    <w:lvl w:ilvl="8" w:tplc="6BAE6A54">
      <w:start w:val="1"/>
      <w:numFmt w:val="bullet"/>
      <w:lvlText w:val=""/>
      <w:lvlJc w:val="left"/>
      <w:pPr>
        <w:ind w:left="1080" w:hanging="360"/>
      </w:pPr>
      <w:rPr>
        <w:rFonts w:ascii="Symbol" w:hAnsi="Symbol"/>
      </w:rPr>
    </w:lvl>
  </w:abstractNum>
  <w:abstractNum w:abstractNumId="1">
    <w:nsid w:val="1E0D163D"/>
    <w:multiLevelType w:val="hybridMultilevel"/>
    <w:tmpl w:val="97A06178"/>
    <w:lvl w:ilvl="0" w:tplc="A0BAB06A">
      <w:start w:val="1"/>
      <w:numFmt w:val="bullet"/>
      <w:lvlText w:val=""/>
      <w:lvlJc w:val="left"/>
      <w:pPr>
        <w:ind w:left="1080" w:hanging="360"/>
      </w:pPr>
      <w:rPr>
        <w:rFonts w:ascii="Symbol" w:hAnsi="Symbol"/>
      </w:rPr>
    </w:lvl>
    <w:lvl w:ilvl="1" w:tplc="5B4849FE">
      <w:start w:val="1"/>
      <w:numFmt w:val="bullet"/>
      <w:lvlText w:val=""/>
      <w:lvlJc w:val="left"/>
      <w:pPr>
        <w:ind w:left="1080" w:hanging="360"/>
      </w:pPr>
      <w:rPr>
        <w:rFonts w:ascii="Symbol" w:hAnsi="Symbol"/>
      </w:rPr>
    </w:lvl>
    <w:lvl w:ilvl="2" w:tplc="1CA08C58">
      <w:start w:val="1"/>
      <w:numFmt w:val="bullet"/>
      <w:lvlText w:val=""/>
      <w:lvlJc w:val="left"/>
      <w:pPr>
        <w:ind w:left="1080" w:hanging="360"/>
      </w:pPr>
      <w:rPr>
        <w:rFonts w:ascii="Symbol" w:hAnsi="Symbol"/>
      </w:rPr>
    </w:lvl>
    <w:lvl w:ilvl="3" w:tplc="9C8633FE">
      <w:start w:val="1"/>
      <w:numFmt w:val="bullet"/>
      <w:lvlText w:val=""/>
      <w:lvlJc w:val="left"/>
      <w:pPr>
        <w:ind w:left="1080" w:hanging="360"/>
      </w:pPr>
      <w:rPr>
        <w:rFonts w:ascii="Symbol" w:hAnsi="Symbol"/>
      </w:rPr>
    </w:lvl>
    <w:lvl w:ilvl="4" w:tplc="ECFC0A4C">
      <w:start w:val="1"/>
      <w:numFmt w:val="bullet"/>
      <w:lvlText w:val=""/>
      <w:lvlJc w:val="left"/>
      <w:pPr>
        <w:ind w:left="1080" w:hanging="360"/>
      </w:pPr>
      <w:rPr>
        <w:rFonts w:ascii="Symbol" w:hAnsi="Symbol"/>
      </w:rPr>
    </w:lvl>
    <w:lvl w:ilvl="5" w:tplc="7B806B60">
      <w:start w:val="1"/>
      <w:numFmt w:val="bullet"/>
      <w:lvlText w:val=""/>
      <w:lvlJc w:val="left"/>
      <w:pPr>
        <w:ind w:left="1080" w:hanging="360"/>
      </w:pPr>
      <w:rPr>
        <w:rFonts w:ascii="Symbol" w:hAnsi="Symbol"/>
      </w:rPr>
    </w:lvl>
    <w:lvl w:ilvl="6" w:tplc="BBFC40EA">
      <w:start w:val="1"/>
      <w:numFmt w:val="bullet"/>
      <w:lvlText w:val=""/>
      <w:lvlJc w:val="left"/>
      <w:pPr>
        <w:ind w:left="1080" w:hanging="360"/>
      </w:pPr>
      <w:rPr>
        <w:rFonts w:ascii="Symbol" w:hAnsi="Symbol"/>
      </w:rPr>
    </w:lvl>
    <w:lvl w:ilvl="7" w:tplc="B4363274">
      <w:start w:val="1"/>
      <w:numFmt w:val="bullet"/>
      <w:lvlText w:val=""/>
      <w:lvlJc w:val="left"/>
      <w:pPr>
        <w:ind w:left="1080" w:hanging="360"/>
      </w:pPr>
      <w:rPr>
        <w:rFonts w:ascii="Symbol" w:hAnsi="Symbol"/>
      </w:rPr>
    </w:lvl>
    <w:lvl w:ilvl="8" w:tplc="127A53C2">
      <w:start w:val="1"/>
      <w:numFmt w:val="bullet"/>
      <w:lvlText w:val=""/>
      <w:lvlJc w:val="left"/>
      <w:pPr>
        <w:ind w:left="1080" w:hanging="360"/>
      </w:pPr>
      <w:rPr>
        <w:rFonts w:ascii="Symbol" w:hAnsi="Symbol"/>
      </w:rPr>
    </w:lvl>
  </w:abstractNum>
  <w:abstractNum w:abstractNumId="2">
    <w:nsid w:val="2A9F5879"/>
    <w:multiLevelType w:val="hybridMultilevel"/>
    <w:tmpl w:val="DDBC09B2"/>
    <w:lvl w:ilvl="0" w:tplc="6EA41FFA">
      <w:start w:val="1"/>
      <w:numFmt w:val="bullet"/>
      <w:lvlText w:val=""/>
      <w:lvlJc w:val="left"/>
      <w:pPr>
        <w:ind w:left="1080" w:hanging="360"/>
      </w:pPr>
      <w:rPr>
        <w:rFonts w:ascii="Symbol" w:hAnsi="Symbol"/>
      </w:rPr>
    </w:lvl>
    <w:lvl w:ilvl="1" w:tplc="26EEF23A">
      <w:start w:val="1"/>
      <w:numFmt w:val="bullet"/>
      <w:lvlText w:val=""/>
      <w:lvlJc w:val="left"/>
      <w:pPr>
        <w:ind w:left="1080" w:hanging="360"/>
      </w:pPr>
      <w:rPr>
        <w:rFonts w:ascii="Symbol" w:hAnsi="Symbol"/>
      </w:rPr>
    </w:lvl>
    <w:lvl w:ilvl="2" w:tplc="4C804332">
      <w:start w:val="1"/>
      <w:numFmt w:val="bullet"/>
      <w:lvlText w:val=""/>
      <w:lvlJc w:val="left"/>
      <w:pPr>
        <w:ind w:left="1080" w:hanging="360"/>
      </w:pPr>
      <w:rPr>
        <w:rFonts w:ascii="Symbol" w:hAnsi="Symbol"/>
      </w:rPr>
    </w:lvl>
    <w:lvl w:ilvl="3" w:tplc="35B01274">
      <w:start w:val="1"/>
      <w:numFmt w:val="bullet"/>
      <w:lvlText w:val=""/>
      <w:lvlJc w:val="left"/>
      <w:pPr>
        <w:ind w:left="1080" w:hanging="360"/>
      </w:pPr>
      <w:rPr>
        <w:rFonts w:ascii="Symbol" w:hAnsi="Symbol"/>
      </w:rPr>
    </w:lvl>
    <w:lvl w:ilvl="4" w:tplc="352C21B2">
      <w:start w:val="1"/>
      <w:numFmt w:val="bullet"/>
      <w:lvlText w:val=""/>
      <w:lvlJc w:val="left"/>
      <w:pPr>
        <w:ind w:left="1080" w:hanging="360"/>
      </w:pPr>
      <w:rPr>
        <w:rFonts w:ascii="Symbol" w:hAnsi="Symbol"/>
      </w:rPr>
    </w:lvl>
    <w:lvl w:ilvl="5" w:tplc="2B2467EE">
      <w:start w:val="1"/>
      <w:numFmt w:val="bullet"/>
      <w:lvlText w:val=""/>
      <w:lvlJc w:val="left"/>
      <w:pPr>
        <w:ind w:left="1080" w:hanging="360"/>
      </w:pPr>
      <w:rPr>
        <w:rFonts w:ascii="Symbol" w:hAnsi="Symbol"/>
      </w:rPr>
    </w:lvl>
    <w:lvl w:ilvl="6" w:tplc="8962D466">
      <w:start w:val="1"/>
      <w:numFmt w:val="bullet"/>
      <w:lvlText w:val=""/>
      <w:lvlJc w:val="left"/>
      <w:pPr>
        <w:ind w:left="1080" w:hanging="360"/>
      </w:pPr>
      <w:rPr>
        <w:rFonts w:ascii="Symbol" w:hAnsi="Symbol"/>
      </w:rPr>
    </w:lvl>
    <w:lvl w:ilvl="7" w:tplc="E2F692C8">
      <w:start w:val="1"/>
      <w:numFmt w:val="bullet"/>
      <w:lvlText w:val=""/>
      <w:lvlJc w:val="left"/>
      <w:pPr>
        <w:ind w:left="1080" w:hanging="360"/>
      </w:pPr>
      <w:rPr>
        <w:rFonts w:ascii="Symbol" w:hAnsi="Symbol"/>
      </w:rPr>
    </w:lvl>
    <w:lvl w:ilvl="8" w:tplc="651C721E">
      <w:start w:val="1"/>
      <w:numFmt w:val="bullet"/>
      <w:lvlText w:val=""/>
      <w:lvlJc w:val="left"/>
      <w:pPr>
        <w:ind w:left="1080" w:hanging="360"/>
      </w:pPr>
      <w:rPr>
        <w:rFonts w:ascii="Symbol" w:hAnsi="Symbol"/>
      </w:rPr>
    </w:lvl>
  </w:abstractNum>
  <w:abstractNum w:abstractNumId="3">
    <w:nsid w:val="2D5310F6"/>
    <w:multiLevelType w:val="hybridMultilevel"/>
    <w:tmpl w:val="A42466BC"/>
    <w:lvl w:ilvl="0" w:tplc="C13A5042">
      <w:start w:val="1"/>
      <w:numFmt w:val="bullet"/>
      <w:lvlText w:val=""/>
      <w:lvlJc w:val="left"/>
      <w:pPr>
        <w:ind w:left="1080" w:hanging="360"/>
      </w:pPr>
      <w:rPr>
        <w:rFonts w:ascii="Symbol" w:hAnsi="Symbol"/>
      </w:rPr>
    </w:lvl>
    <w:lvl w:ilvl="1" w:tplc="80AA654C">
      <w:start w:val="1"/>
      <w:numFmt w:val="bullet"/>
      <w:lvlText w:val=""/>
      <w:lvlJc w:val="left"/>
      <w:pPr>
        <w:ind w:left="1080" w:hanging="360"/>
      </w:pPr>
      <w:rPr>
        <w:rFonts w:ascii="Symbol" w:hAnsi="Symbol"/>
      </w:rPr>
    </w:lvl>
    <w:lvl w:ilvl="2" w:tplc="B0B6A68A">
      <w:start w:val="1"/>
      <w:numFmt w:val="bullet"/>
      <w:lvlText w:val=""/>
      <w:lvlJc w:val="left"/>
      <w:pPr>
        <w:ind w:left="1080" w:hanging="360"/>
      </w:pPr>
      <w:rPr>
        <w:rFonts w:ascii="Symbol" w:hAnsi="Symbol"/>
      </w:rPr>
    </w:lvl>
    <w:lvl w:ilvl="3" w:tplc="AB84830C">
      <w:start w:val="1"/>
      <w:numFmt w:val="bullet"/>
      <w:lvlText w:val=""/>
      <w:lvlJc w:val="left"/>
      <w:pPr>
        <w:ind w:left="1080" w:hanging="360"/>
      </w:pPr>
      <w:rPr>
        <w:rFonts w:ascii="Symbol" w:hAnsi="Symbol"/>
      </w:rPr>
    </w:lvl>
    <w:lvl w:ilvl="4" w:tplc="C6E27324">
      <w:start w:val="1"/>
      <w:numFmt w:val="bullet"/>
      <w:lvlText w:val=""/>
      <w:lvlJc w:val="left"/>
      <w:pPr>
        <w:ind w:left="1080" w:hanging="360"/>
      </w:pPr>
      <w:rPr>
        <w:rFonts w:ascii="Symbol" w:hAnsi="Symbol"/>
      </w:rPr>
    </w:lvl>
    <w:lvl w:ilvl="5" w:tplc="89563DC0">
      <w:start w:val="1"/>
      <w:numFmt w:val="bullet"/>
      <w:lvlText w:val=""/>
      <w:lvlJc w:val="left"/>
      <w:pPr>
        <w:ind w:left="1080" w:hanging="360"/>
      </w:pPr>
      <w:rPr>
        <w:rFonts w:ascii="Symbol" w:hAnsi="Symbol"/>
      </w:rPr>
    </w:lvl>
    <w:lvl w:ilvl="6" w:tplc="6A22F2EE">
      <w:start w:val="1"/>
      <w:numFmt w:val="bullet"/>
      <w:lvlText w:val=""/>
      <w:lvlJc w:val="left"/>
      <w:pPr>
        <w:ind w:left="1080" w:hanging="360"/>
      </w:pPr>
      <w:rPr>
        <w:rFonts w:ascii="Symbol" w:hAnsi="Symbol"/>
      </w:rPr>
    </w:lvl>
    <w:lvl w:ilvl="7" w:tplc="443652F4">
      <w:start w:val="1"/>
      <w:numFmt w:val="bullet"/>
      <w:lvlText w:val=""/>
      <w:lvlJc w:val="left"/>
      <w:pPr>
        <w:ind w:left="1080" w:hanging="360"/>
      </w:pPr>
      <w:rPr>
        <w:rFonts w:ascii="Symbol" w:hAnsi="Symbol"/>
      </w:rPr>
    </w:lvl>
    <w:lvl w:ilvl="8" w:tplc="D8B08866">
      <w:start w:val="1"/>
      <w:numFmt w:val="bullet"/>
      <w:lvlText w:val=""/>
      <w:lvlJc w:val="left"/>
      <w:pPr>
        <w:ind w:left="1080" w:hanging="360"/>
      </w:pPr>
      <w:rPr>
        <w:rFonts w:ascii="Symbol" w:hAnsi="Symbol"/>
      </w:rPr>
    </w:lvl>
  </w:abstractNum>
  <w:abstractNum w:abstractNumId="4">
    <w:nsid w:val="2DFA033C"/>
    <w:multiLevelType w:val="hybridMultilevel"/>
    <w:tmpl w:val="6AB2CAFC"/>
    <w:lvl w:ilvl="0" w:tplc="E0E43680">
      <w:start w:val="1"/>
      <w:numFmt w:val="bullet"/>
      <w:lvlText w:val=""/>
      <w:lvlJc w:val="left"/>
      <w:pPr>
        <w:ind w:left="1080" w:hanging="360"/>
      </w:pPr>
      <w:rPr>
        <w:rFonts w:ascii="Symbol" w:hAnsi="Symbol"/>
      </w:rPr>
    </w:lvl>
    <w:lvl w:ilvl="1" w:tplc="585C3556">
      <w:start w:val="1"/>
      <w:numFmt w:val="bullet"/>
      <w:lvlText w:val=""/>
      <w:lvlJc w:val="left"/>
      <w:pPr>
        <w:ind w:left="1080" w:hanging="360"/>
      </w:pPr>
      <w:rPr>
        <w:rFonts w:ascii="Symbol" w:hAnsi="Symbol"/>
      </w:rPr>
    </w:lvl>
    <w:lvl w:ilvl="2" w:tplc="7E889E9E">
      <w:start w:val="1"/>
      <w:numFmt w:val="bullet"/>
      <w:lvlText w:val=""/>
      <w:lvlJc w:val="left"/>
      <w:pPr>
        <w:ind w:left="1080" w:hanging="360"/>
      </w:pPr>
      <w:rPr>
        <w:rFonts w:ascii="Symbol" w:hAnsi="Symbol"/>
      </w:rPr>
    </w:lvl>
    <w:lvl w:ilvl="3" w:tplc="C34E2162">
      <w:start w:val="1"/>
      <w:numFmt w:val="bullet"/>
      <w:lvlText w:val=""/>
      <w:lvlJc w:val="left"/>
      <w:pPr>
        <w:ind w:left="1080" w:hanging="360"/>
      </w:pPr>
      <w:rPr>
        <w:rFonts w:ascii="Symbol" w:hAnsi="Symbol"/>
      </w:rPr>
    </w:lvl>
    <w:lvl w:ilvl="4" w:tplc="FF32EBFE">
      <w:start w:val="1"/>
      <w:numFmt w:val="bullet"/>
      <w:lvlText w:val=""/>
      <w:lvlJc w:val="left"/>
      <w:pPr>
        <w:ind w:left="1080" w:hanging="360"/>
      </w:pPr>
      <w:rPr>
        <w:rFonts w:ascii="Symbol" w:hAnsi="Symbol"/>
      </w:rPr>
    </w:lvl>
    <w:lvl w:ilvl="5" w:tplc="0A0AA0A6">
      <w:start w:val="1"/>
      <w:numFmt w:val="bullet"/>
      <w:lvlText w:val=""/>
      <w:lvlJc w:val="left"/>
      <w:pPr>
        <w:ind w:left="1080" w:hanging="360"/>
      </w:pPr>
      <w:rPr>
        <w:rFonts w:ascii="Symbol" w:hAnsi="Symbol"/>
      </w:rPr>
    </w:lvl>
    <w:lvl w:ilvl="6" w:tplc="84E6F88E">
      <w:start w:val="1"/>
      <w:numFmt w:val="bullet"/>
      <w:lvlText w:val=""/>
      <w:lvlJc w:val="left"/>
      <w:pPr>
        <w:ind w:left="1080" w:hanging="360"/>
      </w:pPr>
      <w:rPr>
        <w:rFonts w:ascii="Symbol" w:hAnsi="Symbol"/>
      </w:rPr>
    </w:lvl>
    <w:lvl w:ilvl="7" w:tplc="F25C38B6">
      <w:start w:val="1"/>
      <w:numFmt w:val="bullet"/>
      <w:lvlText w:val=""/>
      <w:lvlJc w:val="left"/>
      <w:pPr>
        <w:ind w:left="1080" w:hanging="360"/>
      </w:pPr>
      <w:rPr>
        <w:rFonts w:ascii="Symbol" w:hAnsi="Symbol"/>
      </w:rPr>
    </w:lvl>
    <w:lvl w:ilvl="8" w:tplc="F6BC3ED6">
      <w:start w:val="1"/>
      <w:numFmt w:val="bullet"/>
      <w:lvlText w:val=""/>
      <w:lvlJc w:val="left"/>
      <w:pPr>
        <w:ind w:left="1080" w:hanging="360"/>
      </w:pPr>
      <w:rPr>
        <w:rFonts w:ascii="Symbol" w:hAnsi="Symbol"/>
      </w:rPr>
    </w:lvl>
  </w:abstractNum>
  <w:abstractNum w:abstractNumId="5">
    <w:nsid w:val="47CD551E"/>
    <w:multiLevelType w:val="hybridMultilevel"/>
    <w:tmpl w:val="6D5E3252"/>
    <w:lvl w:ilvl="0" w:tplc="E040B90E">
      <w:start w:val="1"/>
      <w:numFmt w:val="bullet"/>
      <w:lvlText w:val=""/>
      <w:lvlJc w:val="left"/>
      <w:pPr>
        <w:ind w:left="1080" w:hanging="360"/>
      </w:pPr>
      <w:rPr>
        <w:rFonts w:ascii="Symbol" w:hAnsi="Symbol"/>
      </w:rPr>
    </w:lvl>
    <w:lvl w:ilvl="1" w:tplc="F6D8852A">
      <w:start w:val="1"/>
      <w:numFmt w:val="bullet"/>
      <w:lvlText w:val=""/>
      <w:lvlJc w:val="left"/>
      <w:pPr>
        <w:ind w:left="1080" w:hanging="360"/>
      </w:pPr>
      <w:rPr>
        <w:rFonts w:ascii="Symbol" w:hAnsi="Symbol"/>
      </w:rPr>
    </w:lvl>
    <w:lvl w:ilvl="2" w:tplc="00FE756C">
      <w:start w:val="1"/>
      <w:numFmt w:val="bullet"/>
      <w:lvlText w:val=""/>
      <w:lvlJc w:val="left"/>
      <w:pPr>
        <w:ind w:left="1080" w:hanging="360"/>
      </w:pPr>
      <w:rPr>
        <w:rFonts w:ascii="Symbol" w:hAnsi="Symbol"/>
      </w:rPr>
    </w:lvl>
    <w:lvl w:ilvl="3" w:tplc="137AA126">
      <w:start w:val="1"/>
      <w:numFmt w:val="bullet"/>
      <w:lvlText w:val=""/>
      <w:lvlJc w:val="left"/>
      <w:pPr>
        <w:ind w:left="1080" w:hanging="360"/>
      </w:pPr>
      <w:rPr>
        <w:rFonts w:ascii="Symbol" w:hAnsi="Symbol"/>
      </w:rPr>
    </w:lvl>
    <w:lvl w:ilvl="4" w:tplc="9F724CCA">
      <w:start w:val="1"/>
      <w:numFmt w:val="bullet"/>
      <w:lvlText w:val=""/>
      <w:lvlJc w:val="left"/>
      <w:pPr>
        <w:ind w:left="1080" w:hanging="360"/>
      </w:pPr>
      <w:rPr>
        <w:rFonts w:ascii="Symbol" w:hAnsi="Symbol"/>
      </w:rPr>
    </w:lvl>
    <w:lvl w:ilvl="5" w:tplc="4D7E5CC2">
      <w:start w:val="1"/>
      <w:numFmt w:val="bullet"/>
      <w:lvlText w:val=""/>
      <w:lvlJc w:val="left"/>
      <w:pPr>
        <w:ind w:left="1080" w:hanging="360"/>
      </w:pPr>
      <w:rPr>
        <w:rFonts w:ascii="Symbol" w:hAnsi="Symbol"/>
      </w:rPr>
    </w:lvl>
    <w:lvl w:ilvl="6" w:tplc="1292AD1A">
      <w:start w:val="1"/>
      <w:numFmt w:val="bullet"/>
      <w:lvlText w:val=""/>
      <w:lvlJc w:val="left"/>
      <w:pPr>
        <w:ind w:left="1080" w:hanging="360"/>
      </w:pPr>
      <w:rPr>
        <w:rFonts w:ascii="Symbol" w:hAnsi="Symbol"/>
      </w:rPr>
    </w:lvl>
    <w:lvl w:ilvl="7" w:tplc="2F8C8050">
      <w:start w:val="1"/>
      <w:numFmt w:val="bullet"/>
      <w:lvlText w:val=""/>
      <w:lvlJc w:val="left"/>
      <w:pPr>
        <w:ind w:left="1080" w:hanging="360"/>
      </w:pPr>
      <w:rPr>
        <w:rFonts w:ascii="Symbol" w:hAnsi="Symbol"/>
      </w:rPr>
    </w:lvl>
    <w:lvl w:ilvl="8" w:tplc="0C6C1134">
      <w:start w:val="1"/>
      <w:numFmt w:val="bullet"/>
      <w:lvlText w:val=""/>
      <w:lvlJc w:val="left"/>
      <w:pPr>
        <w:ind w:left="1080" w:hanging="360"/>
      </w:pPr>
      <w:rPr>
        <w:rFonts w:ascii="Symbol" w:hAnsi="Symbol"/>
      </w:rPr>
    </w:lvl>
  </w:abstractNum>
  <w:abstractNum w:abstractNumId="6">
    <w:nsid w:val="4FE71D48"/>
    <w:multiLevelType w:val="hybridMultilevel"/>
    <w:tmpl w:val="059ECF0C"/>
    <w:lvl w:ilvl="0" w:tplc="77ECF9D8">
      <w:start w:val="1"/>
      <w:numFmt w:val="decimal"/>
      <w:lvlText w:val="%1."/>
      <w:lvlJc w:val="left"/>
      <w:pPr>
        <w:ind w:left="1020" w:hanging="360"/>
      </w:pPr>
    </w:lvl>
    <w:lvl w:ilvl="1" w:tplc="6518B580">
      <w:start w:val="1"/>
      <w:numFmt w:val="decimal"/>
      <w:lvlText w:val="%2."/>
      <w:lvlJc w:val="left"/>
      <w:pPr>
        <w:ind w:left="1020" w:hanging="360"/>
      </w:pPr>
    </w:lvl>
    <w:lvl w:ilvl="2" w:tplc="5EC4E2A8">
      <w:start w:val="1"/>
      <w:numFmt w:val="decimal"/>
      <w:lvlText w:val="%3."/>
      <w:lvlJc w:val="left"/>
      <w:pPr>
        <w:ind w:left="1020" w:hanging="360"/>
      </w:pPr>
    </w:lvl>
    <w:lvl w:ilvl="3" w:tplc="02FE0164">
      <w:start w:val="1"/>
      <w:numFmt w:val="decimal"/>
      <w:lvlText w:val="%4."/>
      <w:lvlJc w:val="left"/>
      <w:pPr>
        <w:ind w:left="1020" w:hanging="360"/>
      </w:pPr>
    </w:lvl>
    <w:lvl w:ilvl="4" w:tplc="A378A4BC">
      <w:start w:val="1"/>
      <w:numFmt w:val="decimal"/>
      <w:lvlText w:val="%5."/>
      <w:lvlJc w:val="left"/>
      <w:pPr>
        <w:ind w:left="1020" w:hanging="360"/>
      </w:pPr>
    </w:lvl>
    <w:lvl w:ilvl="5" w:tplc="30408AD8">
      <w:start w:val="1"/>
      <w:numFmt w:val="decimal"/>
      <w:lvlText w:val="%6."/>
      <w:lvlJc w:val="left"/>
      <w:pPr>
        <w:ind w:left="1020" w:hanging="360"/>
      </w:pPr>
    </w:lvl>
    <w:lvl w:ilvl="6" w:tplc="0CD22914">
      <w:start w:val="1"/>
      <w:numFmt w:val="decimal"/>
      <w:lvlText w:val="%7."/>
      <w:lvlJc w:val="left"/>
      <w:pPr>
        <w:ind w:left="1020" w:hanging="360"/>
      </w:pPr>
    </w:lvl>
    <w:lvl w:ilvl="7" w:tplc="62084948">
      <w:start w:val="1"/>
      <w:numFmt w:val="decimal"/>
      <w:lvlText w:val="%8."/>
      <w:lvlJc w:val="left"/>
      <w:pPr>
        <w:ind w:left="1020" w:hanging="360"/>
      </w:pPr>
    </w:lvl>
    <w:lvl w:ilvl="8" w:tplc="E3608652">
      <w:start w:val="1"/>
      <w:numFmt w:val="decimal"/>
      <w:lvlText w:val="%9."/>
      <w:lvlJc w:val="left"/>
      <w:pPr>
        <w:ind w:left="1020" w:hanging="360"/>
      </w:pPr>
    </w:lvl>
  </w:abstractNum>
  <w:abstractNum w:abstractNumId="7">
    <w:nsid w:val="614B3706"/>
    <w:multiLevelType w:val="hybridMultilevel"/>
    <w:tmpl w:val="5C0458B0"/>
    <w:lvl w:ilvl="0" w:tplc="B268ED6A">
      <w:start w:val="1"/>
      <w:numFmt w:val="upperLetter"/>
      <w:lvlText w:val="%1."/>
      <w:lvlJc w:val="left"/>
      <w:pPr>
        <w:ind w:left="808" w:hanging="34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817268D8">
      <w:numFmt w:val="bullet"/>
      <w:lvlText w:val="•"/>
      <w:lvlJc w:val="left"/>
      <w:pPr>
        <w:ind w:left="1184" w:hanging="342"/>
      </w:pPr>
      <w:rPr>
        <w:rFonts w:hint="default"/>
        <w:lang w:val="id" w:eastAsia="en-US" w:bidi="ar-SA"/>
      </w:rPr>
    </w:lvl>
    <w:lvl w:ilvl="2" w:tplc="8A2E9C0A">
      <w:numFmt w:val="bullet"/>
      <w:lvlText w:val="•"/>
      <w:lvlJc w:val="left"/>
      <w:pPr>
        <w:ind w:left="1569" w:hanging="342"/>
      </w:pPr>
      <w:rPr>
        <w:rFonts w:hint="default"/>
        <w:lang w:val="id" w:eastAsia="en-US" w:bidi="ar-SA"/>
      </w:rPr>
    </w:lvl>
    <w:lvl w:ilvl="3" w:tplc="C0786A80">
      <w:numFmt w:val="bullet"/>
      <w:lvlText w:val="•"/>
      <w:lvlJc w:val="left"/>
      <w:pPr>
        <w:ind w:left="1954" w:hanging="342"/>
      </w:pPr>
      <w:rPr>
        <w:rFonts w:hint="default"/>
        <w:lang w:val="id" w:eastAsia="en-US" w:bidi="ar-SA"/>
      </w:rPr>
    </w:lvl>
    <w:lvl w:ilvl="4" w:tplc="4E3E33E4">
      <w:numFmt w:val="bullet"/>
      <w:lvlText w:val="•"/>
      <w:lvlJc w:val="left"/>
      <w:pPr>
        <w:ind w:left="2338" w:hanging="342"/>
      </w:pPr>
      <w:rPr>
        <w:rFonts w:hint="default"/>
        <w:lang w:val="id" w:eastAsia="en-US" w:bidi="ar-SA"/>
      </w:rPr>
    </w:lvl>
    <w:lvl w:ilvl="5" w:tplc="3B3CCD9A">
      <w:numFmt w:val="bullet"/>
      <w:lvlText w:val="•"/>
      <w:lvlJc w:val="left"/>
      <w:pPr>
        <w:ind w:left="2723" w:hanging="342"/>
      </w:pPr>
      <w:rPr>
        <w:rFonts w:hint="default"/>
        <w:lang w:val="id" w:eastAsia="en-US" w:bidi="ar-SA"/>
      </w:rPr>
    </w:lvl>
    <w:lvl w:ilvl="6" w:tplc="48764BF8">
      <w:numFmt w:val="bullet"/>
      <w:lvlText w:val="•"/>
      <w:lvlJc w:val="left"/>
      <w:pPr>
        <w:ind w:left="3108" w:hanging="342"/>
      </w:pPr>
      <w:rPr>
        <w:rFonts w:hint="default"/>
        <w:lang w:val="id" w:eastAsia="en-US" w:bidi="ar-SA"/>
      </w:rPr>
    </w:lvl>
    <w:lvl w:ilvl="7" w:tplc="C57008B6">
      <w:numFmt w:val="bullet"/>
      <w:lvlText w:val="•"/>
      <w:lvlJc w:val="left"/>
      <w:pPr>
        <w:ind w:left="3492" w:hanging="342"/>
      </w:pPr>
      <w:rPr>
        <w:rFonts w:hint="default"/>
        <w:lang w:val="id" w:eastAsia="en-US" w:bidi="ar-SA"/>
      </w:rPr>
    </w:lvl>
    <w:lvl w:ilvl="8" w:tplc="B282A012">
      <w:numFmt w:val="bullet"/>
      <w:lvlText w:val="•"/>
      <w:lvlJc w:val="left"/>
      <w:pPr>
        <w:ind w:left="3877" w:hanging="342"/>
      </w:pPr>
      <w:rPr>
        <w:rFonts w:hint="default"/>
        <w:lang w:val="id" w:eastAsia="en-US" w:bidi="ar-SA"/>
      </w:rPr>
    </w:lvl>
  </w:abstractNum>
  <w:abstractNum w:abstractNumId="8">
    <w:nsid w:val="714407FE"/>
    <w:multiLevelType w:val="hybridMultilevel"/>
    <w:tmpl w:val="9D9C0388"/>
    <w:lvl w:ilvl="0" w:tplc="C5FCE8A8">
      <w:start w:val="1"/>
      <w:numFmt w:val="bullet"/>
      <w:lvlText w:val=""/>
      <w:lvlJc w:val="left"/>
      <w:pPr>
        <w:ind w:left="1080" w:hanging="360"/>
      </w:pPr>
      <w:rPr>
        <w:rFonts w:ascii="Symbol" w:hAnsi="Symbol"/>
      </w:rPr>
    </w:lvl>
    <w:lvl w:ilvl="1" w:tplc="152A4BDA">
      <w:start w:val="1"/>
      <w:numFmt w:val="bullet"/>
      <w:lvlText w:val=""/>
      <w:lvlJc w:val="left"/>
      <w:pPr>
        <w:ind w:left="1080" w:hanging="360"/>
      </w:pPr>
      <w:rPr>
        <w:rFonts w:ascii="Symbol" w:hAnsi="Symbol"/>
      </w:rPr>
    </w:lvl>
    <w:lvl w:ilvl="2" w:tplc="3AD8BA18">
      <w:start w:val="1"/>
      <w:numFmt w:val="bullet"/>
      <w:lvlText w:val=""/>
      <w:lvlJc w:val="left"/>
      <w:pPr>
        <w:ind w:left="1080" w:hanging="360"/>
      </w:pPr>
      <w:rPr>
        <w:rFonts w:ascii="Symbol" w:hAnsi="Symbol"/>
      </w:rPr>
    </w:lvl>
    <w:lvl w:ilvl="3" w:tplc="A34AFF20">
      <w:start w:val="1"/>
      <w:numFmt w:val="bullet"/>
      <w:lvlText w:val=""/>
      <w:lvlJc w:val="left"/>
      <w:pPr>
        <w:ind w:left="1080" w:hanging="360"/>
      </w:pPr>
      <w:rPr>
        <w:rFonts w:ascii="Symbol" w:hAnsi="Symbol"/>
      </w:rPr>
    </w:lvl>
    <w:lvl w:ilvl="4" w:tplc="13EEEBDA">
      <w:start w:val="1"/>
      <w:numFmt w:val="bullet"/>
      <w:lvlText w:val=""/>
      <w:lvlJc w:val="left"/>
      <w:pPr>
        <w:ind w:left="1080" w:hanging="360"/>
      </w:pPr>
      <w:rPr>
        <w:rFonts w:ascii="Symbol" w:hAnsi="Symbol"/>
      </w:rPr>
    </w:lvl>
    <w:lvl w:ilvl="5" w:tplc="950A469A">
      <w:start w:val="1"/>
      <w:numFmt w:val="bullet"/>
      <w:lvlText w:val=""/>
      <w:lvlJc w:val="left"/>
      <w:pPr>
        <w:ind w:left="1080" w:hanging="360"/>
      </w:pPr>
      <w:rPr>
        <w:rFonts w:ascii="Symbol" w:hAnsi="Symbol"/>
      </w:rPr>
    </w:lvl>
    <w:lvl w:ilvl="6" w:tplc="F94EB130">
      <w:start w:val="1"/>
      <w:numFmt w:val="bullet"/>
      <w:lvlText w:val=""/>
      <w:lvlJc w:val="left"/>
      <w:pPr>
        <w:ind w:left="1080" w:hanging="360"/>
      </w:pPr>
      <w:rPr>
        <w:rFonts w:ascii="Symbol" w:hAnsi="Symbol"/>
      </w:rPr>
    </w:lvl>
    <w:lvl w:ilvl="7" w:tplc="2CFAD930">
      <w:start w:val="1"/>
      <w:numFmt w:val="bullet"/>
      <w:lvlText w:val=""/>
      <w:lvlJc w:val="left"/>
      <w:pPr>
        <w:ind w:left="1080" w:hanging="360"/>
      </w:pPr>
      <w:rPr>
        <w:rFonts w:ascii="Symbol" w:hAnsi="Symbol"/>
      </w:rPr>
    </w:lvl>
    <w:lvl w:ilvl="8" w:tplc="A2D0ADD0">
      <w:start w:val="1"/>
      <w:numFmt w:val="bullet"/>
      <w:lvlText w:val=""/>
      <w:lvlJc w:val="left"/>
      <w:pPr>
        <w:ind w:left="1080" w:hanging="360"/>
      </w:pPr>
      <w:rPr>
        <w:rFonts w:ascii="Symbol" w:hAnsi="Symbol"/>
      </w:rPr>
    </w:lvl>
  </w:abstractNum>
  <w:num w:numId="1">
    <w:abstractNumId w:val="7"/>
  </w:num>
  <w:num w:numId="2">
    <w:abstractNumId w:val="6"/>
  </w:num>
  <w:num w:numId="3">
    <w:abstractNumId w:val="3"/>
  </w:num>
  <w:num w:numId="4">
    <w:abstractNumId w:val="1"/>
  </w:num>
  <w:num w:numId="5">
    <w:abstractNumId w:val="8"/>
  </w:num>
  <w:num w:numId="6">
    <w:abstractNumId w:val="0"/>
  </w:num>
  <w:num w:numId="7">
    <w:abstractNumId w:val="5"/>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tri Eka Sudiarti">
    <w15:presenceInfo w15:providerId="Windows Live" w15:userId="8c2ad7ad7b9eaed5"/>
  </w15:person>
  <w15:person w15:author="Lathifa 14">
    <w15:presenceInfo w15:providerId="Windows Live" w15:userId="c40d72d9bb4e5b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04DB8"/>
    <w:rsid w:val="00161FD6"/>
    <w:rsid w:val="001F1C5F"/>
    <w:rsid w:val="002F16E7"/>
    <w:rsid w:val="00404DB8"/>
    <w:rsid w:val="005379D3"/>
    <w:rsid w:val="006A6D46"/>
    <w:rsid w:val="009D4C03"/>
    <w:rsid w:val="00B92FE4"/>
    <w:rsid w:val="00BF2B4B"/>
    <w:rsid w:val="00C26ECB"/>
    <w:rsid w:val="00D6089E"/>
    <w:rsid w:val="00EE1AF3"/>
    <w:rsid w:val="00F15B1F"/>
    <w:rsid w:val="00FA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41"/>
      <w:ind w:left="75" w:right="4"/>
      <w:jc w:val="center"/>
      <w:outlineLvl w:val="0"/>
    </w:pPr>
    <w:rPr>
      <w:b/>
      <w:bCs/>
      <w:sz w:val="24"/>
      <w:szCs w:val="24"/>
    </w:rPr>
  </w:style>
  <w:style w:type="paragraph" w:styleId="Heading2">
    <w:name w:val="heading 2"/>
    <w:basedOn w:val="Normal"/>
    <w:uiPriority w:val="9"/>
    <w:unhideWhenUsed/>
    <w:qFormat/>
    <w:pPr>
      <w:spacing w:before="120"/>
      <w:ind w:left="87"/>
      <w:outlineLvl w:val="1"/>
    </w:pPr>
    <w:rPr>
      <w:b/>
      <w:bCs/>
    </w:rPr>
  </w:style>
  <w:style w:type="paragraph" w:styleId="Heading3">
    <w:name w:val="heading 3"/>
    <w:basedOn w:val="Normal"/>
    <w:uiPriority w:val="9"/>
    <w:unhideWhenUsed/>
    <w:qFormat/>
    <w:pPr>
      <w:ind w:left="8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
      <w:jc w:val="both"/>
    </w:pPr>
  </w:style>
  <w:style w:type="paragraph" w:styleId="Title">
    <w:name w:val="Title"/>
    <w:basedOn w:val="Normal"/>
    <w:uiPriority w:val="10"/>
    <w:qFormat/>
    <w:pPr>
      <w:ind w:left="331" w:right="335"/>
      <w:jc w:val="center"/>
    </w:pPr>
    <w:rPr>
      <w:b/>
      <w:bCs/>
      <w:sz w:val="28"/>
      <w:szCs w:val="28"/>
    </w:rPr>
  </w:style>
  <w:style w:type="paragraph" w:styleId="ListParagraph">
    <w:name w:val="List Paragraph"/>
    <w:basedOn w:val="Normal"/>
    <w:uiPriority w:val="1"/>
    <w:qFormat/>
    <w:pPr>
      <w:ind w:left="807" w:right="38"/>
      <w:jc w:val="both"/>
    </w:pPr>
  </w:style>
  <w:style w:type="paragraph" w:customStyle="1" w:styleId="TableParagraph">
    <w:name w:val="Table Paragraph"/>
    <w:basedOn w:val="Normal"/>
    <w:uiPriority w:val="1"/>
    <w:qFormat/>
    <w:pPr>
      <w:spacing w:before="27"/>
      <w:ind w:left="100"/>
      <w:jc w:val="center"/>
    </w:pPr>
  </w:style>
  <w:style w:type="paragraph" w:styleId="Header">
    <w:name w:val="header"/>
    <w:basedOn w:val="Normal"/>
    <w:link w:val="HeaderChar"/>
    <w:uiPriority w:val="99"/>
    <w:unhideWhenUsed/>
    <w:rsid w:val="00C26ECB"/>
    <w:pPr>
      <w:tabs>
        <w:tab w:val="center" w:pos="4680"/>
        <w:tab w:val="right" w:pos="9360"/>
      </w:tabs>
    </w:pPr>
  </w:style>
  <w:style w:type="character" w:customStyle="1" w:styleId="HeaderChar">
    <w:name w:val="Header Char"/>
    <w:basedOn w:val="DefaultParagraphFont"/>
    <w:link w:val="Header"/>
    <w:uiPriority w:val="99"/>
    <w:rsid w:val="00C26ECB"/>
    <w:rPr>
      <w:rFonts w:ascii="Times New Roman" w:eastAsia="Times New Roman" w:hAnsi="Times New Roman" w:cs="Times New Roman"/>
      <w:lang w:val="id"/>
    </w:rPr>
  </w:style>
  <w:style w:type="paragraph" w:styleId="Footer">
    <w:name w:val="footer"/>
    <w:basedOn w:val="Normal"/>
    <w:link w:val="FooterChar"/>
    <w:uiPriority w:val="99"/>
    <w:unhideWhenUsed/>
    <w:rsid w:val="00C26ECB"/>
    <w:pPr>
      <w:tabs>
        <w:tab w:val="center" w:pos="4680"/>
        <w:tab w:val="right" w:pos="9360"/>
      </w:tabs>
    </w:pPr>
  </w:style>
  <w:style w:type="character" w:customStyle="1" w:styleId="FooterChar">
    <w:name w:val="Footer Char"/>
    <w:basedOn w:val="DefaultParagraphFont"/>
    <w:link w:val="Footer"/>
    <w:uiPriority w:val="99"/>
    <w:rsid w:val="00C26ECB"/>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F15B1F"/>
    <w:rPr>
      <w:sz w:val="16"/>
      <w:szCs w:val="16"/>
    </w:rPr>
  </w:style>
  <w:style w:type="paragraph" w:styleId="CommentText">
    <w:name w:val="annotation text"/>
    <w:basedOn w:val="Normal"/>
    <w:link w:val="CommentTextChar"/>
    <w:uiPriority w:val="99"/>
    <w:unhideWhenUsed/>
    <w:rsid w:val="00F15B1F"/>
    <w:rPr>
      <w:sz w:val="20"/>
      <w:szCs w:val="20"/>
    </w:rPr>
  </w:style>
  <w:style w:type="character" w:customStyle="1" w:styleId="CommentTextChar">
    <w:name w:val="Comment Text Char"/>
    <w:basedOn w:val="DefaultParagraphFont"/>
    <w:link w:val="CommentText"/>
    <w:uiPriority w:val="99"/>
    <w:rsid w:val="00F15B1F"/>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15B1F"/>
    <w:rPr>
      <w:b/>
      <w:bCs/>
    </w:rPr>
  </w:style>
  <w:style w:type="character" w:customStyle="1" w:styleId="CommentSubjectChar">
    <w:name w:val="Comment Subject Char"/>
    <w:basedOn w:val="CommentTextChar"/>
    <w:link w:val="CommentSubject"/>
    <w:uiPriority w:val="99"/>
    <w:semiHidden/>
    <w:rsid w:val="00F15B1F"/>
    <w:rPr>
      <w:rFonts w:ascii="Times New Roman" w:eastAsia="Times New Roman" w:hAnsi="Times New Roman" w:cs="Times New Roman"/>
      <w:b/>
      <w:bCs/>
      <w:sz w:val="20"/>
      <w:szCs w:val="20"/>
      <w:lang w:val="id"/>
    </w:rPr>
  </w:style>
  <w:style w:type="character" w:styleId="Hyperlink">
    <w:name w:val="Hyperlink"/>
    <w:basedOn w:val="DefaultParagraphFont"/>
    <w:uiPriority w:val="99"/>
    <w:unhideWhenUsed/>
    <w:rsid w:val="00F15B1F"/>
    <w:rPr>
      <w:color w:val="0000FF" w:themeColor="hyperlink"/>
      <w:u w:val="single"/>
    </w:rPr>
  </w:style>
  <w:style w:type="character" w:customStyle="1" w:styleId="UnresolvedMention">
    <w:name w:val="Unresolved Mention"/>
    <w:basedOn w:val="DefaultParagraphFont"/>
    <w:uiPriority w:val="99"/>
    <w:semiHidden/>
    <w:unhideWhenUsed/>
    <w:rsid w:val="00F15B1F"/>
    <w:rPr>
      <w:color w:val="605E5C"/>
      <w:shd w:val="clear" w:color="auto" w:fill="E1DFDD"/>
    </w:rPr>
  </w:style>
  <w:style w:type="paragraph" w:styleId="BalloonText">
    <w:name w:val="Balloon Text"/>
    <w:basedOn w:val="Normal"/>
    <w:link w:val="BalloonTextChar"/>
    <w:uiPriority w:val="99"/>
    <w:semiHidden/>
    <w:unhideWhenUsed/>
    <w:rsid w:val="00FA639F"/>
    <w:rPr>
      <w:rFonts w:ascii="Tahoma" w:hAnsi="Tahoma" w:cs="Tahoma"/>
      <w:sz w:val="16"/>
      <w:szCs w:val="16"/>
    </w:rPr>
  </w:style>
  <w:style w:type="character" w:customStyle="1" w:styleId="BalloonTextChar">
    <w:name w:val="Balloon Text Char"/>
    <w:basedOn w:val="DefaultParagraphFont"/>
    <w:link w:val="BalloonText"/>
    <w:uiPriority w:val="99"/>
    <w:semiHidden/>
    <w:rsid w:val="00FA639F"/>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41"/>
      <w:ind w:left="75" w:right="4"/>
      <w:jc w:val="center"/>
      <w:outlineLvl w:val="0"/>
    </w:pPr>
    <w:rPr>
      <w:b/>
      <w:bCs/>
      <w:sz w:val="24"/>
      <w:szCs w:val="24"/>
    </w:rPr>
  </w:style>
  <w:style w:type="paragraph" w:styleId="Heading2">
    <w:name w:val="heading 2"/>
    <w:basedOn w:val="Normal"/>
    <w:uiPriority w:val="9"/>
    <w:unhideWhenUsed/>
    <w:qFormat/>
    <w:pPr>
      <w:spacing w:before="120"/>
      <w:ind w:left="87"/>
      <w:outlineLvl w:val="1"/>
    </w:pPr>
    <w:rPr>
      <w:b/>
      <w:bCs/>
    </w:rPr>
  </w:style>
  <w:style w:type="paragraph" w:styleId="Heading3">
    <w:name w:val="heading 3"/>
    <w:basedOn w:val="Normal"/>
    <w:uiPriority w:val="9"/>
    <w:unhideWhenUsed/>
    <w:qFormat/>
    <w:pPr>
      <w:ind w:left="8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
      <w:jc w:val="both"/>
    </w:pPr>
  </w:style>
  <w:style w:type="paragraph" w:styleId="Title">
    <w:name w:val="Title"/>
    <w:basedOn w:val="Normal"/>
    <w:uiPriority w:val="10"/>
    <w:qFormat/>
    <w:pPr>
      <w:ind w:left="331" w:right="335"/>
      <w:jc w:val="center"/>
    </w:pPr>
    <w:rPr>
      <w:b/>
      <w:bCs/>
      <w:sz w:val="28"/>
      <w:szCs w:val="28"/>
    </w:rPr>
  </w:style>
  <w:style w:type="paragraph" w:styleId="ListParagraph">
    <w:name w:val="List Paragraph"/>
    <w:basedOn w:val="Normal"/>
    <w:uiPriority w:val="1"/>
    <w:qFormat/>
    <w:pPr>
      <w:ind w:left="807" w:right="38"/>
      <w:jc w:val="both"/>
    </w:pPr>
  </w:style>
  <w:style w:type="paragraph" w:customStyle="1" w:styleId="TableParagraph">
    <w:name w:val="Table Paragraph"/>
    <w:basedOn w:val="Normal"/>
    <w:uiPriority w:val="1"/>
    <w:qFormat/>
    <w:pPr>
      <w:spacing w:before="27"/>
      <w:ind w:left="100"/>
      <w:jc w:val="center"/>
    </w:pPr>
  </w:style>
  <w:style w:type="paragraph" w:styleId="Header">
    <w:name w:val="header"/>
    <w:basedOn w:val="Normal"/>
    <w:link w:val="HeaderChar"/>
    <w:uiPriority w:val="99"/>
    <w:unhideWhenUsed/>
    <w:rsid w:val="00C26ECB"/>
    <w:pPr>
      <w:tabs>
        <w:tab w:val="center" w:pos="4680"/>
        <w:tab w:val="right" w:pos="9360"/>
      </w:tabs>
    </w:pPr>
  </w:style>
  <w:style w:type="character" w:customStyle="1" w:styleId="HeaderChar">
    <w:name w:val="Header Char"/>
    <w:basedOn w:val="DefaultParagraphFont"/>
    <w:link w:val="Header"/>
    <w:uiPriority w:val="99"/>
    <w:rsid w:val="00C26ECB"/>
    <w:rPr>
      <w:rFonts w:ascii="Times New Roman" w:eastAsia="Times New Roman" w:hAnsi="Times New Roman" w:cs="Times New Roman"/>
      <w:lang w:val="id"/>
    </w:rPr>
  </w:style>
  <w:style w:type="paragraph" w:styleId="Footer">
    <w:name w:val="footer"/>
    <w:basedOn w:val="Normal"/>
    <w:link w:val="FooterChar"/>
    <w:uiPriority w:val="99"/>
    <w:unhideWhenUsed/>
    <w:rsid w:val="00C26ECB"/>
    <w:pPr>
      <w:tabs>
        <w:tab w:val="center" w:pos="4680"/>
        <w:tab w:val="right" w:pos="9360"/>
      </w:tabs>
    </w:pPr>
  </w:style>
  <w:style w:type="character" w:customStyle="1" w:styleId="FooterChar">
    <w:name w:val="Footer Char"/>
    <w:basedOn w:val="DefaultParagraphFont"/>
    <w:link w:val="Footer"/>
    <w:uiPriority w:val="99"/>
    <w:rsid w:val="00C26ECB"/>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F15B1F"/>
    <w:rPr>
      <w:sz w:val="16"/>
      <w:szCs w:val="16"/>
    </w:rPr>
  </w:style>
  <w:style w:type="paragraph" w:styleId="CommentText">
    <w:name w:val="annotation text"/>
    <w:basedOn w:val="Normal"/>
    <w:link w:val="CommentTextChar"/>
    <w:uiPriority w:val="99"/>
    <w:unhideWhenUsed/>
    <w:rsid w:val="00F15B1F"/>
    <w:rPr>
      <w:sz w:val="20"/>
      <w:szCs w:val="20"/>
    </w:rPr>
  </w:style>
  <w:style w:type="character" w:customStyle="1" w:styleId="CommentTextChar">
    <w:name w:val="Comment Text Char"/>
    <w:basedOn w:val="DefaultParagraphFont"/>
    <w:link w:val="CommentText"/>
    <w:uiPriority w:val="99"/>
    <w:rsid w:val="00F15B1F"/>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15B1F"/>
    <w:rPr>
      <w:b/>
      <w:bCs/>
    </w:rPr>
  </w:style>
  <w:style w:type="character" w:customStyle="1" w:styleId="CommentSubjectChar">
    <w:name w:val="Comment Subject Char"/>
    <w:basedOn w:val="CommentTextChar"/>
    <w:link w:val="CommentSubject"/>
    <w:uiPriority w:val="99"/>
    <w:semiHidden/>
    <w:rsid w:val="00F15B1F"/>
    <w:rPr>
      <w:rFonts w:ascii="Times New Roman" w:eastAsia="Times New Roman" w:hAnsi="Times New Roman" w:cs="Times New Roman"/>
      <w:b/>
      <w:bCs/>
      <w:sz w:val="20"/>
      <w:szCs w:val="20"/>
      <w:lang w:val="id"/>
    </w:rPr>
  </w:style>
  <w:style w:type="character" w:styleId="Hyperlink">
    <w:name w:val="Hyperlink"/>
    <w:basedOn w:val="DefaultParagraphFont"/>
    <w:uiPriority w:val="99"/>
    <w:unhideWhenUsed/>
    <w:rsid w:val="00F15B1F"/>
    <w:rPr>
      <w:color w:val="0000FF" w:themeColor="hyperlink"/>
      <w:u w:val="single"/>
    </w:rPr>
  </w:style>
  <w:style w:type="character" w:customStyle="1" w:styleId="UnresolvedMention">
    <w:name w:val="Unresolved Mention"/>
    <w:basedOn w:val="DefaultParagraphFont"/>
    <w:uiPriority w:val="99"/>
    <w:semiHidden/>
    <w:unhideWhenUsed/>
    <w:rsid w:val="00F15B1F"/>
    <w:rPr>
      <w:color w:val="605E5C"/>
      <w:shd w:val="clear" w:color="auto" w:fill="E1DFDD"/>
    </w:rPr>
  </w:style>
  <w:style w:type="paragraph" w:styleId="BalloonText">
    <w:name w:val="Balloon Text"/>
    <w:basedOn w:val="Normal"/>
    <w:link w:val="BalloonTextChar"/>
    <w:uiPriority w:val="99"/>
    <w:semiHidden/>
    <w:unhideWhenUsed/>
    <w:rsid w:val="00FA639F"/>
    <w:rPr>
      <w:rFonts w:ascii="Tahoma" w:hAnsi="Tahoma" w:cs="Tahoma"/>
      <w:sz w:val="16"/>
      <w:szCs w:val="16"/>
    </w:rPr>
  </w:style>
  <w:style w:type="character" w:customStyle="1" w:styleId="BalloonTextChar">
    <w:name w:val="Balloon Text Char"/>
    <w:basedOn w:val="DefaultParagraphFont"/>
    <w:link w:val="BalloonText"/>
    <w:uiPriority w:val="99"/>
    <w:semiHidden/>
    <w:rsid w:val="00FA639F"/>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mrz_oto@yahoo.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rz_oto@yahoo.com" TargetMode="External"/><Relationship Id="rId24" Type="http://schemas.openxmlformats.org/officeDocument/2006/relationships/header" Target="header2.xml"/><Relationship Id="rId5" Type="http://schemas.openxmlformats.org/officeDocument/2006/relationships/settings" Target="settings.xml"/><Relationship Id="rId23" Type="http://schemas.openxmlformats.org/officeDocument/2006/relationships/hyperlink" Target="https://doi.org/10.31004/jn.v9i3.44644" TargetMode="Externa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22" Type="http://schemas.openxmlformats.org/officeDocument/2006/relationships/image" Target="media/image6.png"/><Relationship Id="rId27" Type="http://schemas.openxmlformats.org/officeDocument/2006/relationships/theme" Target="theme/theme1.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40837-6D86-47B6-BACC-B3DBB277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2025-10-03T08:08:00Z</cp:lastPrinted>
  <dcterms:created xsi:type="dcterms:W3CDTF">2025-10-03T08:08:00Z</dcterms:created>
  <dcterms:modified xsi:type="dcterms:W3CDTF">2025-10-03T08:08:00Z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LastSaved">
    <vt:filetime>2025-09-18T00:00:00Z</vt:filetime>
  </property>
  <property fmtid="{D5CDD505-2E9C-101B-9397-08002B2CF9AE}" pid="4" name="Producer">
    <vt:lpwstr>3-Heights(TM) PDF Security Shell 4.8.25.2 (http://www.pdf-tools.com)</vt:lpwstr>
  </property>
</Properties>
</file>