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12CFF" w14:textId="400CC04B" w:rsidR="00210E35" w:rsidRPr="00E05395" w:rsidRDefault="00210E35" w:rsidP="00210E35">
      <w:pPr>
        <w:tabs>
          <w:tab w:val="left" w:pos="12510"/>
        </w:tabs>
        <w:jc w:val="center"/>
        <w:rPr>
          <w:sz w:val="24"/>
          <w:szCs w:val="24"/>
          <w:lang w:val="en-US"/>
        </w:rPr>
      </w:pPr>
      <w:r w:rsidRPr="00E05395">
        <w:rPr>
          <w:noProof/>
          <w:lang w:val="en-US"/>
        </w:rPr>
        <w:drawing>
          <wp:anchor distT="0" distB="0" distL="114300" distR="114300" simplePos="0" relativeHeight="487591936" behindDoc="0" locked="0" layoutInCell="1" allowOverlap="1" wp14:anchorId="477DDD60" wp14:editId="42A27F1F">
            <wp:simplePos x="0" y="0"/>
            <wp:positionH relativeFrom="column">
              <wp:posOffset>5567045</wp:posOffset>
            </wp:positionH>
            <wp:positionV relativeFrom="paragraph">
              <wp:posOffset>-127000</wp:posOffset>
            </wp:positionV>
            <wp:extent cx="641985" cy="796290"/>
            <wp:effectExtent l="0" t="0" r="5715" b="3810"/>
            <wp:wrapNone/>
            <wp:docPr id="14" name="Picture 14"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05395">
        <w:rPr>
          <w:noProof/>
          <w:sz w:val="24"/>
          <w:szCs w:val="24"/>
          <w:lang w:val="en-US"/>
        </w:rPr>
        <w:drawing>
          <wp:anchor distT="0" distB="0" distL="114300" distR="114300" simplePos="0" relativeHeight="487590912" behindDoc="0" locked="0" layoutInCell="1" allowOverlap="1" wp14:anchorId="6EF3A5FF" wp14:editId="14340A65">
            <wp:simplePos x="0" y="0"/>
            <wp:positionH relativeFrom="column">
              <wp:posOffset>-50800</wp:posOffset>
            </wp:positionH>
            <wp:positionV relativeFrom="paragraph">
              <wp:posOffset>-64770</wp:posOffset>
            </wp:positionV>
            <wp:extent cx="923925" cy="800100"/>
            <wp:effectExtent l="0" t="0" r="9525" b="0"/>
            <wp:wrapNone/>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E05395">
        <w:rPr>
          <w:sz w:val="24"/>
          <w:szCs w:val="24"/>
        </w:rPr>
        <w:t xml:space="preserve">Jurnal Ners Volume 10 Nomor 1 Tahun 2026 Halaman </w:t>
      </w:r>
      <w:r w:rsidR="00DE481C">
        <w:rPr>
          <w:sz w:val="24"/>
          <w:szCs w:val="24"/>
        </w:rPr>
        <w:t>1748 - 1753</w:t>
      </w:r>
    </w:p>
    <w:p w14:paraId="65B7FBFD" w14:textId="77777777" w:rsidR="00210E35" w:rsidRPr="00E05395" w:rsidRDefault="00210E35" w:rsidP="00210E35">
      <w:pPr>
        <w:tabs>
          <w:tab w:val="left" w:pos="12510"/>
        </w:tabs>
        <w:jc w:val="center"/>
        <w:rPr>
          <w:sz w:val="24"/>
          <w:szCs w:val="24"/>
        </w:rPr>
      </w:pPr>
      <w:r w:rsidRPr="00E05395">
        <w:rPr>
          <w:b/>
          <w:bCs/>
          <w:sz w:val="24"/>
          <w:szCs w:val="24"/>
        </w:rPr>
        <w:t>JURNAL NERS</w:t>
      </w:r>
    </w:p>
    <w:p w14:paraId="5E4B1271" w14:textId="77777777" w:rsidR="00210E35" w:rsidRPr="00E05395" w:rsidRDefault="00210E35" w:rsidP="00210E35">
      <w:pPr>
        <w:jc w:val="center"/>
        <w:rPr>
          <w:sz w:val="24"/>
          <w:szCs w:val="24"/>
        </w:rPr>
      </w:pPr>
      <w:r w:rsidRPr="00E05395">
        <w:rPr>
          <w:sz w:val="24"/>
          <w:szCs w:val="24"/>
        </w:rPr>
        <w:t>Research &amp; Learning in Nursing Science</w:t>
      </w:r>
    </w:p>
    <w:p w14:paraId="010F6AB9" w14:textId="77777777" w:rsidR="00210E35" w:rsidRPr="00E05395" w:rsidRDefault="00210E35" w:rsidP="00210E35">
      <w:pPr>
        <w:pBdr>
          <w:bottom w:val="double" w:sz="6" w:space="0" w:color="auto"/>
        </w:pBdr>
        <w:jc w:val="center"/>
        <w:rPr>
          <w:sz w:val="24"/>
        </w:rPr>
      </w:pPr>
      <w:r w:rsidRPr="00E05395">
        <w:rPr>
          <w:sz w:val="24"/>
        </w:rPr>
        <w:t>http://journal.universitaspahlawan.ac.id/index.php/ners</w:t>
      </w:r>
    </w:p>
    <w:p w14:paraId="72FFD5A1" w14:textId="141DDCB9" w:rsidR="00D44C37" w:rsidRDefault="007121D0" w:rsidP="00210E35">
      <w:pPr>
        <w:pStyle w:val="Title"/>
      </w:pPr>
      <w:r w:rsidRPr="00A96CD6">
        <w:t xml:space="preserve">Efektivitas Senam Kaki </w:t>
      </w:r>
      <w:r>
        <w:t>dan</w:t>
      </w:r>
      <w:r w:rsidRPr="00A96CD6">
        <w:t xml:space="preserve"> Akupresur Terhadap Kadar Gula Darah Pada Lansia Dengan Diabetes Mellitus Tipe 2: Studi Quasi-Eksperimen </w:t>
      </w:r>
      <w:r>
        <w:t>di</w:t>
      </w:r>
      <w:r w:rsidRPr="00A96CD6">
        <w:t xml:space="preserve"> PRSLU Karawang</w:t>
      </w:r>
    </w:p>
    <w:p w14:paraId="75D7D432" w14:textId="77777777" w:rsidR="00210E35" w:rsidRDefault="00210E35" w:rsidP="00210E35">
      <w:pPr>
        <w:ind w:left="569" w:right="222" w:firstLine="859"/>
        <w:jc w:val="center"/>
        <w:rPr>
          <w:b/>
          <w:position w:val="2"/>
          <w:sz w:val="24"/>
          <w:szCs w:val="24"/>
        </w:rPr>
      </w:pPr>
    </w:p>
    <w:p w14:paraId="5BB3752D" w14:textId="77777777" w:rsidR="00D44C37" w:rsidRDefault="00E6267D" w:rsidP="00210E35">
      <w:pPr>
        <w:ind w:left="569" w:right="222" w:firstLine="859"/>
        <w:jc w:val="center"/>
      </w:pPr>
      <w:r w:rsidRPr="00210E35">
        <w:rPr>
          <w:b/>
          <w:position w:val="2"/>
          <w:sz w:val="24"/>
          <w:szCs w:val="24"/>
        </w:rPr>
        <w:t>Aprilina Sartika</w:t>
      </w:r>
      <w:r w:rsidRPr="00210E35">
        <w:rPr>
          <w:b/>
          <w:position w:val="2"/>
          <w:sz w:val="24"/>
          <w:szCs w:val="24"/>
          <w:vertAlign w:val="superscript"/>
        </w:rPr>
        <w:t>1</w:t>
      </w:r>
      <w:r w:rsidRPr="00210E35">
        <w:rPr>
          <w:b/>
          <w:position w:val="2"/>
          <w:sz w:val="24"/>
          <w:szCs w:val="24"/>
        </w:rPr>
        <w:t>, Yulidian Nurpratiwi</w:t>
      </w:r>
      <w:r w:rsidRPr="00210E35">
        <w:rPr>
          <w:b/>
          <w:position w:val="2"/>
          <w:sz w:val="24"/>
          <w:szCs w:val="24"/>
          <w:vertAlign w:val="superscript"/>
        </w:rPr>
        <w:t>2</w:t>
      </w:r>
      <w:r w:rsidRPr="00210E35">
        <w:rPr>
          <w:b/>
          <w:position w:val="2"/>
          <w:sz w:val="24"/>
          <w:szCs w:val="24"/>
        </w:rPr>
        <w:t>, Lily Herlina</w:t>
      </w:r>
      <w:r w:rsidRPr="00210E35">
        <w:rPr>
          <w:b/>
          <w:position w:val="2"/>
          <w:sz w:val="24"/>
          <w:szCs w:val="24"/>
          <w:vertAlign w:val="superscript"/>
        </w:rPr>
        <w:t>3</w:t>
      </w:r>
      <w:r w:rsidRPr="00210E35">
        <w:rPr>
          <w:b/>
          <w:position w:val="2"/>
          <w:sz w:val="24"/>
          <w:szCs w:val="24"/>
        </w:rPr>
        <w:t>, Nurhayati</w:t>
      </w:r>
      <w:r w:rsidRPr="00210E35">
        <w:rPr>
          <w:b/>
          <w:position w:val="2"/>
          <w:sz w:val="24"/>
          <w:szCs w:val="24"/>
          <w:vertAlign w:val="superscript"/>
        </w:rPr>
        <w:t>4</w:t>
      </w:r>
      <w:r w:rsidRPr="00210E35">
        <w:rPr>
          <w:b/>
          <w:sz w:val="24"/>
          <w:szCs w:val="24"/>
        </w:rPr>
        <w:t>,</w:t>
      </w:r>
      <w:r w:rsidRPr="00210E35">
        <w:rPr>
          <w:b/>
          <w:spacing w:val="40"/>
          <w:sz w:val="24"/>
          <w:szCs w:val="24"/>
        </w:rPr>
        <w:t xml:space="preserve"> </w:t>
      </w:r>
      <w:r w:rsidRPr="00210E35">
        <w:rPr>
          <w:b/>
          <w:bCs/>
          <w:position w:val="2"/>
          <w:sz w:val="24"/>
          <w:szCs w:val="24"/>
        </w:rPr>
        <w:t>Aria Wahyuni</w:t>
      </w:r>
      <w:r w:rsidRPr="00210E35">
        <w:rPr>
          <w:b/>
          <w:bCs/>
          <w:position w:val="2"/>
          <w:sz w:val="24"/>
          <w:szCs w:val="24"/>
          <w:vertAlign w:val="superscript"/>
        </w:rPr>
        <w:t>5</w:t>
      </w:r>
      <w:r>
        <w:rPr>
          <w:position w:val="2"/>
        </w:rPr>
        <w:t xml:space="preserve"> </w:t>
      </w:r>
      <w:r>
        <w:rPr>
          <w:position w:val="2"/>
          <w:vertAlign w:val="superscript"/>
        </w:rPr>
        <w:t>1,2</w:t>
      </w:r>
      <w:r>
        <w:t>Program</w:t>
      </w:r>
      <w:r>
        <w:rPr>
          <w:spacing w:val="-11"/>
        </w:rPr>
        <w:t xml:space="preserve"> </w:t>
      </w:r>
      <w:r>
        <w:t>Studi</w:t>
      </w:r>
      <w:r>
        <w:rPr>
          <w:spacing w:val="-6"/>
        </w:rPr>
        <w:t xml:space="preserve"> </w:t>
      </w:r>
      <w:r>
        <w:t>Sarjana Keperawatan</w:t>
      </w:r>
      <w:r>
        <w:rPr>
          <w:spacing w:val="-7"/>
        </w:rPr>
        <w:t xml:space="preserve"> </w:t>
      </w:r>
      <w:r>
        <w:t>dan</w:t>
      </w:r>
      <w:r>
        <w:rPr>
          <w:spacing w:val="-7"/>
        </w:rPr>
        <w:t xml:space="preserve"> </w:t>
      </w:r>
      <w:r>
        <w:t>Pendidikan</w:t>
      </w:r>
      <w:r>
        <w:rPr>
          <w:spacing w:val="-7"/>
        </w:rPr>
        <w:t xml:space="preserve"> </w:t>
      </w:r>
      <w:r>
        <w:t>Profesi</w:t>
      </w:r>
      <w:r>
        <w:rPr>
          <w:spacing w:val="-6"/>
        </w:rPr>
        <w:t xml:space="preserve"> </w:t>
      </w:r>
      <w:r>
        <w:t>Ners,</w:t>
      </w:r>
      <w:r>
        <w:rPr>
          <w:spacing w:val="-4"/>
        </w:rPr>
        <w:t xml:space="preserve"> </w:t>
      </w:r>
      <w:r>
        <w:t>Fakultas</w:t>
      </w:r>
      <w:r>
        <w:rPr>
          <w:spacing w:val="-6"/>
        </w:rPr>
        <w:t xml:space="preserve"> </w:t>
      </w:r>
      <w:r>
        <w:t>Ilmu Kesehatan, Universitas</w:t>
      </w:r>
    </w:p>
    <w:p w14:paraId="0EA32A93" w14:textId="77777777" w:rsidR="00D44C37" w:rsidRDefault="00E6267D" w:rsidP="00210E35">
      <w:pPr>
        <w:pStyle w:val="BodyText"/>
        <w:ind w:left="293" w:right="7"/>
        <w:jc w:val="center"/>
      </w:pPr>
      <w:r>
        <w:t>Medika</w:t>
      </w:r>
      <w:r>
        <w:rPr>
          <w:spacing w:val="-2"/>
        </w:rPr>
        <w:t xml:space="preserve"> Suherman</w:t>
      </w:r>
    </w:p>
    <w:p w14:paraId="24A4FA1C" w14:textId="134AB026" w:rsidR="00D44C37" w:rsidRDefault="00E6267D" w:rsidP="00210E35">
      <w:pPr>
        <w:pStyle w:val="BodyText"/>
        <w:ind w:left="278"/>
        <w:jc w:val="center"/>
      </w:pPr>
      <w:r>
        <w:rPr>
          <w:vertAlign w:val="superscript"/>
        </w:rPr>
        <w:t>3,4</w:t>
      </w:r>
      <w:r>
        <w:t>Program</w:t>
      </w:r>
      <w:r>
        <w:rPr>
          <w:spacing w:val="-12"/>
        </w:rPr>
        <w:t xml:space="preserve"> </w:t>
      </w:r>
      <w:r>
        <w:t>Studi</w:t>
      </w:r>
      <w:r>
        <w:rPr>
          <w:spacing w:val="-7"/>
        </w:rPr>
        <w:t xml:space="preserve"> </w:t>
      </w:r>
      <w:r>
        <w:t>Spesialis</w:t>
      </w:r>
      <w:r>
        <w:rPr>
          <w:spacing w:val="-4"/>
        </w:rPr>
        <w:t xml:space="preserve"> </w:t>
      </w:r>
      <w:r>
        <w:t>Keperawatan</w:t>
      </w:r>
      <w:r>
        <w:rPr>
          <w:spacing w:val="-8"/>
        </w:rPr>
        <w:t xml:space="preserve"> </w:t>
      </w:r>
      <w:r>
        <w:t>Komunitas,</w:t>
      </w:r>
      <w:r>
        <w:rPr>
          <w:spacing w:val="-6"/>
        </w:rPr>
        <w:t xml:space="preserve"> </w:t>
      </w:r>
      <w:r>
        <w:t>Fakultas</w:t>
      </w:r>
      <w:r>
        <w:rPr>
          <w:spacing w:val="-4"/>
        </w:rPr>
        <w:t xml:space="preserve"> </w:t>
      </w:r>
      <w:r>
        <w:t>Ilmu</w:t>
      </w:r>
      <w:r>
        <w:rPr>
          <w:spacing w:val="-4"/>
        </w:rPr>
        <w:t xml:space="preserve"> </w:t>
      </w:r>
      <w:r>
        <w:t>keperawatan,</w:t>
      </w:r>
      <w:r>
        <w:rPr>
          <w:spacing w:val="-2"/>
        </w:rPr>
        <w:t xml:space="preserve"> </w:t>
      </w:r>
      <w:r>
        <w:t>Universitas</w:t>
      </w:r>
      <w:r>
        <w:rPr>
          <w:spacing w:val="-4"/>
        </w:rPr>
        <w:t xml:space="preserve"> </w:t>
      </w:r>
      <w:r>
        <w:t>Muhamm</w:t>
      </w:r>
      <w:r w:rsidR="007121D0">
        <w:t>a</w:t>
      </w:r>
      <w:r>
        <w:t xml:space="preserve">diyah </w:t>
      </w:r>
      <w:r>
        <w:rPr>
          <w:spacing w:val="-2"/>
        </w:rPr>
        <w:t>Jakarta</w:t>
      </w:r>
    </w:p>
    <w:p w14:paraId="681BBA31" w14:textId="33546B76" w:rsidR="00D44C37" w:rsidRDefault="00E6267D" w:rsidP="00210E35">
      <w:pPr>
        <w:pStyle w:val="BodyText"/>
        <w:ind w:left="293"/>
        <w:jc w:val="center"/>
      </w:pPr>
      <w:r>
        <w:rPr>
          <w:vertAlign w:val="superscript"/>
        </w:rPr>
        <w:t>5</w:t>
      </w:r>
      <w:r>
        <w:t>Program</w:t>
      </w:r>
      <w:r>
        <w:rPr>
          <w:spacing w:val="-10"/>
        </w:rPr>
        <w:t xml:space="preserve"> </w:t>
      </w:r>
      <w:r>
        <w:t>Studi</w:t>
      </w:r>
      <w:r>
        <w:rPr>
          <w:spacing w:val="-4"/>
        </w:rPr>
        <w:t xml:space="preserve"> </w:t>
      </w:r>
      <w:r>
        <w:t>Ilmu</w:t>
      </w:r>
      <w:r>
        <w:rPr>
          <w:spacing w:val="-2"/>
        </w:rPr>
        <w:t xml:space="preserve"> </w:t>
      </w:r>
      <w:r>
        <w:t>Keperawatan</w:t>
      </w:r>
      <w:r>
        <w:rPr>
          <w:spacing w:val="-7"/>
        </w:rPr>
        <w:t xml:space="preserve"> </w:t>
      </w:r>
      <w:r>
        <w:t>dan</w:t>
      </w:r>
      <w:r>
        <w:rPr>
          <w:spacing w:val="-7"/>
        </w:rPr>
        <w:t xml:space="preserve"> </w:t>
      </w:r>
      <w:r>
        <w:t>Profesi</w:t>
      </w:r>
      <w:r>
        <w:rPr>
          <w:spacing w:val="-6"/>
        </w:rPr>
        <w:t xml:space="preserve"> </w:t>
      </w:r>
      <w:r>
        <w:t>Ners,</w:t>
      </w:r>
      <w:r>
        <w:rPr>
          <w:spacing w:val="-5"/>
        </w:rPr>
        <w:t xml:space="preserve"> </w:t>
      </w:r>
      <w:r>
        <w:t>Fakultas</w:t>
      </w:r>
      <w:r>
        <w:rPr>
          <w:spacing w:val="-2"/>
        </w:rPr>
        <w:t xml:space="preserve"> </w:t>
      </w:r>
      <w:r>
        <w:t>Ilmu Kesehatan, Universitas</w:t>
      </w:r>
      <w:r>
        <w:rPr>
          <w:spacing w:val="-2"/>
        </w:rPr>
        <w:t xml:space="preserve"> </w:t>
      </w:r>
      <w:r>
        <w:t>Muhamm</w:t>
      </w:r>
      <w:r w:rsidR="007121D0">
        <w:t>a</w:t>
      </w:r>
      <w:bookmarkStart w:id="0" w:name="_GoBack"/>
      <w:bookmarkEnd w:id="0"/>
      <w:r>
        <w:t>diyah Sumatera Barat</w:t>
      </w:r>
    </w:p>
    <w:p w14:paraId="72615C7D" w14:textId="77777777" w:rsidR="00D44C37" w:rsidRDefault="003C32BF" w:rsidP="00210E35">
      <w:pPr>
        <w:pStyle w:val="BodyText"/>
        <w:ind w:left="293" w:right="7"/>
        <w:jc w:val="center"/>
      </w:pPr>
      <w:hyperlink r:id="rId11">
        <w:r w:rsidR="00D44C37">
          <w:rPr>
            <w:spacing w:val="-2"/>
          </w:rPr>
          <w:t>Sartika0482@gmail.com</w:t>
        </w:r>
      </w:hyperlink>
    </w:p>
    <w:p w14:paraId="1C2628BD" w14:textId="77777777" w:rsidR="00D44C37" w:rsidRDefault="00E6267D" w:rsidP="00210E35">
      <w:pPr>
        <w:pStyle w:val="BodyText"/>
        <w:spacing w:before="63"/>
        <w:jc w:val="both"/>
        <w:rPr>
          <w:sz w:val="20"/>
        </w:rPr>
      </w:pPr>
      <w:r>
        <w:rPr>
          <w:noProof/>
          <w:sz w:val="20"/>
          <w:lang w:val="en-US"/>
        </w:rPr>
        <mc:AlternateContent>
          <mc:Choice Requires="wps">
            <w:drawing>
              <wp:anchor distT="0" distB="0" distL="0" distR="0" simplePos="0" relativeHeight="487588352" behindDoc="1" locked="0" layoutInCell="1" allowOverlap="1" wp14:anchorId="2DBA6B87" wp14:editId="63BBE485">
                <wp:simplePos x="0" y="0"/>
                <wp:positionH relativeFrom="page">
                  <wp:posOffset>667816</wp:posOffset>
                </wp:positionH>
                <wp:positionV relativeFrom="paragraph">
                  <wp:posOffset>201805</wp:posOffset>
                </wp:positionV>
                <wp:extent cx="622998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985" cy="9525"/>
                        </a:xfrm>
                        <a:custGeom>
                          <a:avLst/>
                          <a:gdLst/>
                          <a:ahLst/>
                          <a:cxnLst/>
                          <a:rect l="l" t="t" r="r" b="b"/>
                          <a:pathLst>
                            <a:path w="6229985" h="9525">
                              <a:moveTo>
                                <a:pt x="6229477" y="0"/>
                              </a:moveTo>
                              <a:lnTo>
                                <a:pt x="0" y="0"/>
                              </a:lnTo>
                              <a:lnTo>
                                <a:pt x="0" y="9144"/>
                              </a:lnTo>
                              <a:lnTo>
                                <a:pt x="6229477" y="9144"/>
                              </a:lnTo>
                              <a:lnTo>
                                <a:pt x="62294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F8D188" id="Graphic 9" o:spid="_x0000_s1026" style="position:absolute;margin-left:52.6pt;margin-top:15.9pt;width:490.5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9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" path="m6229477,l,,,9144r6229477,l6229477,xe" fillcolor="black" stroked="f">
                <v:path arrowok="t"/>
                <w10:wrap type="topAndBottom" anchorx="page"/>
              </v:shape>
            </w:pict>
          </mc:Fallback>
        </mc:AlternateContent>
      </w:r>
    </w:p>
    <w:p w14:paraId="3051843F" w14:textId="77777777" w:rsidR="00D44C37" w:rsidRPr="00E32D59" w:rsidRDefault="00E6267D" w:rsidP="00210E35">
      <w:pPr>
        <w:pStyle w:val="Heading2"/>
        <w:ind w:left="372"/>
        <w:jc w:val="both"/>
        <w:rPr>
          <w:sz w:val="20"/>
          <w:szCs w:val="20"/>
        </w:rPr>
      </w:pPr>
      <w:r w:rsidRPr="00E32D59">
        <w:rPr>
          <w:spacing w:val="-2"/>
          <w:sz w:val="20"/>
          <w:szCs w:val="20"/>
        </w:rPr>
        <w:t>Abstrak</w:t>
      </w:r>
    </w:p>
    <w:p w14:paraId="1445672D" w14:textId="71CD3DB5" w:rsidR="003272CD" w:rsidRPr="003272CD" w:rsidRDefault="003272CD" w:rsidP="00210E35">
      <w:pPr>
        <w:spacing w:before="1"/>
        <w:ind w:left="372"/>
        <w:jc w:val="both"/>
        <w:rPr>
          <w:sz w:val="20"/>
          <w:szCs w:val="20"/>
          <w:lang w:val="sv-SE" w:eastAsia="zh-CN"/>
        </w:rPr>
      </w:pPr>
      <w:r w:rsidRPr="003272CD">
        <w:rPr>
          <w:sz w:val="20"/>
          <w:szCs w:val="20"/>
          <w:lang w:val="sv-SE" w:eastAsia="zh-CN"/>
        </w:rPr>
        <w:t>Lansia dengan Diabetes Mellitus (DM) tipe 2 memiliki risiko tinggi mengalami ketidakstabilan kadar gula darah akibat penurunan fungsi fisiologis dan keterbatasan aktivitas fisik. Intervensi nonfarmakologis seperti senam kaki dan akupresur banyak digunakan, namun bukti komparatif mengenai efektivitas keduanya pada lansia institusional masih terbatas. Penelitian ini bertujuan menganalisis dan membandingkan efektivitas senam kaki dan akupresur terhadap penurunan kadar gula darah pada lansia dengan DM tipe 2. Penelitian kuantitatif dengan desain quasi-experimental two-group pre–post test dilakukan di PRSLU Karawang pada Mei–Juli 2025 dengan sampel 32 lansia DM tipe 2 yang dibagi menjadi dua kelompok intervensi. Kadar gula darah diukur sebelum dan sesudah intervensi, kemudian dianalisis menggunakan uji Wilcoxon dan Mann–Whitney. Hasil penelitian menunjukkan bahwa kedua intervensi efektif menurunkan kadar gula darah, namun penurunan pada kelompok senam kaki lebih besar dibandingkan kelompok akupresur. Senam kaki menurunkan kadar gula darah rata-rata sebesar 42,31 mg/dL, sedangkan akupresur sebesar 3,87 mg/dL. Disimpulkan bahwa senam kaki dan akupresur efektif menurunkan kadar gula darah pada lansia dengan DM tipe 2, namun senam kaki memiliki efektivitas yang lebih besar dan lebih bermakna secara klinis. Senam kaki direkomendasikan sebagai intervensi nonfarmakologis utama dalam pengendalian glikemik pada lansia, khususnya di lingkungan institusional, sementara akupresur dapat digunakan sebagai terapi komplementer pendukung.</w:t>
      </w:r>
    </w:p>
    <w:p w14:paraId="3AB0E9EB" w14:textId="77777777" w:rsidR="003272CD" w:rsidRDefault="003272CD" w:rsidP="00210E35">
      <w:pPr>
        <w:spacing w:before="1"/>
        <w:ind w:left="372"/>
        <w:jc w:val="both"/>
        <w:rPr>
          <w:sz w:val="20"/>
          <w:szCs w:val="20"/>
          <w:lang w:val="sv-SE" w:eastAsia="zh-CN"/>
        </w:rPr>
      </w:pPr>
      <w:r w:rsidRPr="00210E35">
        <w:rPr>
          <w:b/>
          <w:sz w:val="20"/>
          <w:szCs w:val="20"/>
          <w:lang w:val="sv-SE" w:eastAsia="zh-CN"/>
        </w:rPr>
        <w:t>Kata kunci</w:t>
      </w:r>
      <w:r w:rsidRPr="003272CD">
        <w:rPr>
          <w:sz w:val="20"/>
          <w:szCs w:val="20"/>
          <w:lang w:val="sv-SE" w:eastAsia="zh-CN"/>
        </w:rPr>
        <w:t>: Lansia, Diabetes Mellitus Tipe 2, Senam Kaki, Akupresur, Kadar Gula Darah.</w:t>
      </w:r>
    </w:p>
    <w:p w14:paraId="2350E612" w14:textId="77777777" w:rsidR="003272CD" w:rsidRDefault="003272CD" w:rsidP="00210E35">
      <w:pPr>
        <w:spacing w:before="1"/>
        <w:ind w:left="372"/>
        <w:jc w:val="both"/>
        <w:rPr>
          <w:sz w:val="20"/>
          <w:szCs w:val="20"/>
          <w:lang w:val="sv-SE" w:eastAsia="zh-CN"/>
        </w:rPr>
      </w:pPr>
    </w:p>
    <w:p w14:paraId="61E6E390" w14:textId="77777777" w:rsidR="003272CD" w:rsidRDefault="00E6267D" w:rsidP="00210E35">
      <w:pPr>
        <w:spacing w:before="1"/>
        <w:ind w:left="372"/>
        <w:jc w:val="both"/>
        <w:rPr>
          <w:b/>
          <w:i/>
          <w:spacing w:val="-2"/>
        </w:rPr>
      </w:pPr>
      <w:r>
        <w:rPr>
          <w:b/>
          <w:i/>
          <w:spacing w:val="-2"/>
        </w:rPr>
        <w:t>Abstract</w:t>
      </w:r>
    </w:p>
    <w:p w14:paraId="3F0E84B9" w14:textId="77777777" w:rsidR="003272CD" w:rsidRDefault="003272CD" w:rsidP="00210E35">
      <w:pPr>
        <w:spacing w:before="1"/>
        <w:ind w:left="372"/>
        <w:jc w:val="both"/>
        <w:rPr>
          <w:i/>
        </w:rPr>
      </w:pPr>
      <w:r w:rsidRPr="003272CD">
        <w:rPr>
          <w:i/>
        </w:rPr>
        <w:t>Older adults with type 2 Diabetes Mellitus (DM) are at high risk of blood glucose instability due to age-related physiological decline and limited physical activity. Non-pharmacological interventions such as foot exercise and acupressure are commonly used; however, comparative evidence regarding their effectiveness among institutionalized older adults remains limited. This study aimed to analyze and compare the effectiveness of foot exercise and acupressure in reducing blood glucose levels among older adults with type 2 DM. A quantitative study with a quasi-experimental two-group pre–post test design was conducted at PRSLU Karawang from May to July 2025. The sample consisted of 32 older adults with type 2 DM, divided into two intervention groups. Blood glucose levels were measured before and after the interventions and analyzed using the Wilcoxon signed-rank test and the Mann–Whitney U test. The results showed that both interventions significantly reduced blood glucose levels; however, the reduction was greater in the foot exercise group than in the acupressure group. Foot exercise reduced mean blood glucose levels by 42.31 mg/dL, whereas acupressure resulted in a mean reduction of 3.87 mg/dL. In conclusion, both foot exercise and acupressure are effective in reducing blood glucose levels among older adults with type 2 DM; however, foot exercise demonstrates greater and more clinically meaningful effectiveness. Foot exercise is therefore recommended as a primary non-pharmacological intervention for glycemic control in older adults, particularly in institutional settings, while acupressure may be used as a complementary supportive therapy.</w:t>
      </w:r>
    </w:p>
    <w:p w14:paraId="33882B5F" w14:textId="2B06754A" w:rsidR="00D44C37" w:rsidRDefault="003272CD" w:rsidP="00210E35">
      <w:pPr>
        <w:spacing w:before="1"/>
        <w:ind w:left="372"/>
        <w:jc w:val="both"/>
        <w:rPr>
          <w:i/>
        </w:rPr>
      </w:pPr>
      <w:r w:rsidRPr="00210E35">
        <w:rPr>
          <w:b/>
          <w:i/>
        </w:rPr>
        <w:t>Keywords</w:t>
      </w:r>
      <w:r w:rsidRPr="003272CD">
        <w:rPr>
          <w:i/>
        </w:rPr>
        <w:t>: Older adults, Type 2 Diabetes Mellitus, Foot exercise, Acupressure, Blood glucose levels.</w:t>
      </w:r>
    </w:p>
    <w:p w14:paraId="180CFEC8" w14:textId="77777777" w:rsidR="003272CD" w:rsidRDefault="003272CD" w:rsidP="003272CD">
      <w:pPr>
        <w:spacing w:before="1"/>
        <w:ind w:left="372"/>
        <w:jc w:val="both"/>
        <w:rPr>
          <w:i/>
        </w:rPr>
      </w:pPr>
    </w:p>
    <w:p w14:paraId="4D0FDA49" w14:textId="77777777" w:rsidR="003272CD" w:rsidRDefault="003272CD" w:rsidP="003272CD">
      <w:pPr>
        <w:spacing w:before="1"/>
        <w:ind w:left="372"/>
        <w:jc w:val="both"/>
        <w:rPr>
          <w:i/>
        </w:rPr>
      </w:pPr>
    </w:p>
    <w:p w14:paraId="09F4BB20" w14:textId="7F4F6BDB" w:rsidR="00D44C37" w:rsidRDefault="00E6267D">
      <w:pPr>
        <w:spacing w:before="1"/>
        <w:ind w:left="4343"/>
        <w:rPr>
          <w:sz w:val="20"/>
        </w:rPr>
      </w:pPr>
      <w:r>
        <w:rPr>
          <w:sz w:val="20"/>
        </w:rPr>
        <w:t>@Jurnal</w:t>
      </w:r>
      <w:r>
        <w:rPr>
          <w:spacing w:val="-5"/>
          <w:sz w:val="20"/>
        </w:rPr>
        <w:t xml:space="preserve"> </w:t>
      </w:r>
      <w:r>
        <w:rPr>
          <w:sz w:val="20"/>
        </w:rPr>
        <w:t>Ners</w:t>
      </w:r>
      <w:r>
        <w:rPr>
          <w:spacing w:val="-7"/>
          <w:sz w:val="20"/>
        </w:rPr>
        <w:t xml:space="preserve"> </w:t>
      </w:r>
      <w:r>
        <w:rPr>
          <w:sz w:val="20"/>
        </w:rPr>
        <w:t>Prodi</w:t>
      </w:r>
      <w:r>
        <w:rPr>
          <w:spacing w:val="-9"/>
          <w:sz w:val="20"/>
        </w:rPr>
        <w:t xml:space="preserve"> </w:t>
      </w:r>
      <w:r>
        <w:rPr>
          <w:sz w:val="20"/>
        </w:rPr>
        <w:t>Sarjana</w:t>
      </w:r>
      <w:r>
        <w:rPr>
          <w:spacing w:val="-5"/>
          <w:sz w:val="20"/>
        </w:rPr>
        <w:t xml:space="preserve"> </w:t>
      </w:r>
      <w:r>
        <w:rPr>
          <w:sz w:val="20"/>
        </w:rPr>
        <w:t>Keperawatan</w:t>
      </w:r>
      <w:r>
        <w:rPr>
          <w:spacing w:val="-6"/>
          <w:sz w:val="20"/>
        </w:rPr>
        <w:t xml:space="preserve"> </w:t>
      </w:r>
      <w:r>
        <w:rPr>
          <w:sz w:val="20"/>
        </w:rPr>
        <w:t>&amp;</w:t>
      </w:r>
      <w:r>
        <w:rPr>
          <w:spacing w:val="-5"/>
          <w:sz w:val="20"/>
        </w:rPr>
        <w:t xml:space="preserve"> </w:t>
      </w:r>
      <w:r>
        <w:rPr>
          <w:sz w:val="20"/>
        </w:rPr>
        <w:t>Profesi</w:t>
      </w:r>
      <w:r>
        <w:rPr>
          <w:spacing w:val="-4"/>
          <w:sz w:val="20"/>
        </w:rPr>
        <w:t xml:space="preserve"> </w:t>
      </w:r>
      <w:r>
        <w:rPr>
          <w:sz w:val="20"/>
        </w:rPr>
        <w:t>Ners</w:t>
      </w:r>
      <w:r>
        <w:rPr>
          <w:spacing w:val="-7"/>
          <w:sz w:val="20"/>
        </w:rPr>
        <w:t xml:space="preserve"> </w:t>
      </w:r>
      <w:r>
        <w:rPr>
          <w:sz w:val="20"/>
        </w:rPr>
        <w:t>FIK</w:t>
      </w:r>
      <w:r>
        <w:rPr>
          <w:spacing w:val="-7"/>
          <w:sz w:val="20"/>
        </w:rPr>
        <w:t xml:space="preserve"> </w:t>
      </w:r>
      <w:r>
        <w:rPr>
          <w:sz w:val="20"/>
        </w:rPr>
        <w:t>UP</w:t>
      </w:r>
      <w:r>
        <w:rPr>
          <w:spacing w:val="-7"/>
          <w:sz w:val="20"/>
        </w:rPr>
        <w:t xml:space="preserve"> </w:t>
      </w:r>
      <w:r w:rsidR="00210E35">
        <w:rPr>
          <w:spacing w:val="-4"/>
          <w:sz w:val="20"/>
        </w:rPr>
        <w:t>2026</w:t>
      </w:r>
    </w:p>
    <w:p w14:paraId="0CBB656A" w14:textId="77777777" w:rsidR="00D44C37" w:rsidRDefault="00E6267D">
      <w:pPr>
        <w:pStyle w:val="BodyText"/>
        <w:rPr>
          <w:sz w:val="6"/>
        </w:rPr>
      </w:pPr>
      <w:r>
        <w:rPr>
          <w:noProof/>
          <w:sz w:val="6"/>
          <w:lang w:val="en-US"/>
        </w:rPr>
        <mc:AlternateContent>
          <mc:Choice Requires="wps">
            <w:drawing>
              <wp:anchor distT="0" distB="0" distL="0" distR="0" simplePos="0" relativeHeight="487588864" behindDoc="1" locked="0" layoutInCell="1" allowOverlap="1" wp14:anchorId="3A3AB149" wp14:editId="78B017BB">
                <wp:simplePos x="0" y="0"/>
                <wp:positionH relativeFrom="page">
                  <wp:posOffset>685800</wp:posOffset>
                </wp:positionH>
                <wp:positionV relativeFrom="paragraph">
                  <wp:posOffset>59629</wp:posOffset>
                </wp:positionV>
                <wp:extent cx="62007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270"/>
                        </a:xfrm>
                        <a:custGeom>
                          <a:avLst/>
                          <a:gdLst/>
                          <a:ahLst/>
                          <a:cxnLst/>
                          <a:rect l="l" t="t" r="r" b="b"/>
                          <a:pathLst>
                            <a:path w="6200775">
                              <a:moveTo>
                                <a:pt x="0" y="0"/>
                              </a:moveTo>
                              <a:lnTo>
                                <a:pt x="6200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77C1B17" id="Graphic 10" o:spid="_x0000_s1026" style="position:absolute;margin-left:54pt;margin-top:4.7pt;width:488.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00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" path="m,l6200775,e" filled="f">
                <v:path arrowok="t"/>
                <w10:wrap type="topAndBottom" anchorx="page"/>
              </v:shape>
            </w:pict>
          </mc:Fallback>
        </mc:AlternateContent>
      </w:r>
    </w:p>
    <w:p w14:paraId="28FC78D7" w14:textId="77777777" w:rsidR="00210E35" w:rsidRDefault="00E6267D" w:rsidP="00210E35">
      <w:pPr>
        <w:pStyle w:val="BodyText"/>
        <w:ind w:left="459" w:right="6"/>
      </w:pPr>
      <w:r w:rsidRPr="00210E35">
        <w:t></w:t>
      </w:r>
      <w:r w:rsidRPr="00210E35">
        <w:rPr>
          <w:spacing w:val="-14"/>
        </w:rPr>
        <w:t xml:space="preserve"> </w:t>
      </w:r>
      <w:r w:rsidRPr="00210E35">
        <w:t>Corresponding</w:t>
      </w:r>
      <w:r w:rsidRPr="00210E35">
        <w:rPr>
          <w:spacing w:val="-13"/>
        </w:rPr>
        <w:t xml:space="preserve"> </w:t>
      </w:r>
      <w:r w:rsidRPr="00210E35">
        <w:t>author</w:t>
      </w:r>
      <w:r w:rsidRPr="00210E35">
        <w:rPr>
          <w:spacing w:val="-12"/>
        </w:rPr>
        <w:t xml:space="preserve"> </w:t>
      </w:r>
      <w:r w:rsidRPr="00210E35">
        <w:t>:Aprilina</w:t>
      </w:r>
      <w:r w:rsidRPr="00210E35">
        <w:rPr>
          <w:spacing w:val="-13"/>
        </w:rPr>
        <w:t xml:space="preserve"> </w:t>
      </w:r>
      <w:r w:rsidRPr="00210E35">
        <w:t>Sartika</w:t>
      </w:r>
    </w:p>
    <w:p w14:paraId="6C511FDE" w14:textId="77777777" w:rsidR="00210E35" w:rsidRDefault="00E6267D" w:rsidP="00210E35">
      <w:pPr>
        <w:pStyle w:val="BodyText"/>
        <w:ind w:left="459" w:right="6"/>
      </w:pPr>
      <w:r w:rsidRPr="00210E35">
        <w:t>Address</w:t>
      </w:r>
      <w:r w:rsidRPr="00210E35">
        <w:rPr>
          <w:spacing w:val="40"/>
        </w:rPr>
        <w:t xml:space="preserve"> </w:t>
      </w:r>
      <w:r w:rsidRPr="00210E35">
        <w:t>: Universitas Medika Suherman</w:t>
      </w:r>
      <w:r w:rsidR="00210E35">
        <w:t xml:space="preserve"> </w:t>
      </w:r>
      <w:r w:rsidRPr="00210E35">
        <w:t>Jl.</w:t>
      </w:r>
      <w:r w:rsidRPr="00210E35">
        <w:rPr>
          <w:spacing w:val="-7"/>
        </w:rPr>
        <w:t xml:space="preserve"> </w:t>
      </w:r>
      <w:r w:rsidRPr="00210E35">
        <w:t>Raya</w:t>
      </w:r>
      <w:r w:rsidRPr="00210E35">
        <w:rPr>
          <w:spacing w:val="-9"/>
        </w:rPr>
        <w:t xml:space="preserve"> </w:t>
      </w:r>
      <w:r w:rsidRPr="00210E35">
        <w:t>Industri</w:t>
      </w:r>
      <w:r w:rsidRPr="00210E35">
        <w:rPr>
          <w:spacing w:val="-7"/>
        </w:rPr>
        <w:t xml:space="preserve"> </w:t>
      </w:r>
      <w:r w:rsidRPr="00210E35">
        <w:t>Pasir</w:t>
      </w:r>
      <w:r w:rsidRPr="00210E35">
        <w:rPr>
          <w:spacing w:val="-9"/>
        </w:rPr>
        <w:t xml:space="preserve"> </w:t>
      </w:r>
      <w:r w:rsidRPr="00210E35">
        <w:t>Gombong,</w:t>
      </w:r>
      <w:r w:rsidRPr="00210E35">
        <w:rPr>
          <w:spacing w:val="-10"/>
        </w:rPr>
        <w:t xml:space="preserve"> </w:t>
      </w:r>
      <w:r w:rsidRPr="00210E35">
        <w:t>Jababeka,</w:t>
      </w:r>
      <w:r w:rsidRPr="00210E35">
        <w:rPr>
          <w:spacing w:val="-11"/>
        </w:rPr>
        <w:t xml:space="preserve"> </w:t>
      </w:r>
      <w:r w:rsidRPr="00210E35">
        <w:t>Cikarang</w:t>
      </w:r>
      <w:r w:rsidRPr="00210E35">
        <w:rPr>
          <w:spacing w:val="-6"/>
        </w:rPr>
        <w:t xml:space="preserve"> </w:t>
      </w:r>
      <w:r w:rsidRPr="00210E35">
        <w:t>Utara,</w:t>
      </w:r>
      <w:r w:rsidRPr="00210E35">
        <w:rPr>
          <w:spacing w:val="-12"/>
        </w:rPr>
        <w:t xml:space="preserve"> </w:t>
      </w:r>
      <w:r w:rsidRPr="00210E35">
        <w:t>Bekasi</w:t>
      </w:r>
      <w:r w:rsidRPr="00210E35">
        <w:rPr>
          <w:spacing w:val="-6"/>
        </w:rPr>
        <w:t xml:space="preserve"> </w:t>
      </w:r>
      <w:r w:rsidRPr="00210E35">
        <w:t>17530</w:t>
      </w:r>
    </w:p>
    <w:p w14:paraId="64C535F8" w14:textId="7F40823A" w:rsidR="00D44C37" w:rsidRPr="00210E35" w:rsidRDefault="00E6267D" w:rsidP="00210E35">
      <w:pPr>
        <w:pStyle w:val="BodyText"/>
        <w:ind w:left="459" w:right="6"/>
      </w:pPr>
      <w:r w:rsidRPr="00210E35">
        <w:t xml:space="preserve"> </w:t>
      </w:r>
      <w:r w:rsidRPr="00210E35">
        <w:rPr>
          <w:spacing w:val="-2"/>
        </w:rPr>
        <w:t>Email</w:t>
      </w:r>
      <w:r w:rsidRPr="00210E35">
        <w:tab/>
        <w:t xml:space="preserve">: </w:t>
      </w:r>
      <w:hyperlink r:id="rId12">
        <w:r w:rsidR="00D44C37" w:rsidRPr="00210E35">
          <w:t>sartika0482@gmail.com</w:t>
        </w:r>
      </w:hyperlink>
    </w:p>
    <w:p w14:paraId="7CB45A95" w14:textId="77777777" w:rsidR="00D44C37" w:rsidRPr="00210E35" w:rsidRDefault="00E6267D" w:rsidP="00210E35">
      <w:pPr>
        <w:pStyle w:val="BodyText"/>
        <w:tabs>
          <w:tab w:val="left" w:pos="1313"/>
        </w:tabs>
        <w:ind w:left="459" w:right="6"/>
      </w:pPr>
      <w:r w:rsidRPr="00210E35">
        <w:rPr>
          <w:spacing w:val="-2"/>
        </w:rPr>
        <w:t>Phone</w:t>
      </w:r>
      <w:r w:rsidRPr="00210E35">
        <w:tab/>
      </w:r>
      <w:r w:rsidRPr="00210E35">
        <w:rPr>
          <w:spacing w:val="-2"/>
        </w:rPr>
        <w:t>:</w:t>
      </w:r>
      <w:r w:rsidRPr="00210E35">
        <w:t xml:space="preserve"> </w:t>
      </w:r>
      <w:r w:rsidRPr="00210E35">
        <w:rPr>
          <w:spacing w:val="-2"/>
        </w:rPr>
        <w:t>+62</w:t>
      </w:r>
      <w:r w:rsidRPr="00210E35">
        <w:rPr>
          <w:spacing w:val="1"/>
        </w:rPr>
        <w:t xml:space="preserve"> </w:t>
      </w:r>
      <w:r w:rsidRPr="00210E35">
        <w:rPr>
          <w:spacing w:val="-2"/>
        </w:rPr>
        <w:t>822-9897-</w:t>
      </w:r>
      <w:r w:rsidRPr="00210E35">
        <w:rPr>
          <w:spacing w:val="-4"/>
        </w:rPr>
        <w:t>2509</w:t>
      </w:r>
    </w:p>
    <w:p w14:paraId="2E04111F" w14:textId="77777777" w:rsidR="00D44C37" w:rsidRDefault="00D44C37">
      <w:pPr>
        <w:pStyle w:val="BodyText"/>
        <w:rPr>
          <w:rFonts w:ascii="Calibri"/>
        </w:rPr>
        <w:sectPr w:rsidR="00D44C37">
          <w:footerReference w:type="default" r:id="rId13"/>
          <w:type w:val="continuous"/>
          <w:pgSz w:w="11910" w:h="18720"/>
          <w:pgMar w:top="1260" w:right="992" w:bottom="1220" w:left="708" w:header="0" w:footer="1031" w:gutter="0"/>
          <w:pgNumType w:start="1"/>
          <w:cols w:space="720"/>
        </w:sectPr>
      </w:pPr>
    </w:p>
    <w:p w14:paraId="6D11AA00" w14:textId="289FF1FB" w:rsidR="00D44C37" w:rsidRDefault="00E6267D" w:rsidP="003272CD">
      <w:pPr>
        <w:pStyle w:val="Heading1"/>
        <w:spacing w:line="240" w:lineRule="auto"/>
        <w:ind w:left="0"/>
        <w:rPr>
          <w:spacing w:val="-2"/>
        </w:rPr>
      </w:pPr>
      <w:bookmarkStart w:id="1" w:name="1._PENDAHULUAN"/>
      <w:bookmarkEnd w:id="1"/>
      <w:r>
        <w:rPr>
          <w:spacing w:val="-2"/>
        </w:rPr>
        <w:lastRenderedPageBreak/>
        <w:t>PENDAHULUAN</w:t>
      </w:r>
    </w:p>
    <w:p w14:paraId="1312A394" w14:textId="77777777" w:rsidR="003272CD" w:rsidRDefault="003272CD" w:rsidP="003272CD">
      <w:pPr>
        <w:pStyle w:val="Heading1"/>
        <w:spacing w:line="240" w:lineRule="auto"/>
        <w:ind w:left="0"/>
      </w:pPr>
    </w:p>
    <w:p w14:paraId="25997754" w14:textId="77777777" w:rsidR="00FC0FC6" w:rsidRDefault="00EC279B" w:rsidP="003272CD">
      <w:pPr>
        <w:ind w:firstLine="284"/>
        <w:jc w:val="both"/>
      </w:pPr>
      <w:r w:rsidRPr="00EC279B">
        <w:t xml:space="preserve">Proses penuaan ditandai dengan penurunan fungsi fisiologis yang meningkatkan kerentanan terhadap berbagai penyakit kronis, termasuk Diabetes Mellitus (DM). Organisasi Kesehatan Dunia mendefinisikan lanjut usia sebagai individu berusia 60 tahun ke atas, yang secara fisiologis mengalami penurunan kapasitas adaptasi terhadap gangguan metabolik dan penyakit degeneratif </w:t>
      </w:r>
      <w:r>
        <w:fldChar w:fldCharType="begin" w:fldLock="1"/>
      </w:r>
      <w:r w:rsidR="0088535E">
        <w:instrText>ADDIN CSL_CITATION {"citationItems":[{"id":"ITEM-1","itemData":{"URL":"https://www.who.int/news-room/fact-sheets/detail/ageing-and-health","author":[{"dropping-particle":"","family":"World Helath Organization (WHO)","given":"","non-dropping-particle":"","parse-names":false,"suffix":""}],"id":"ITEM-1","issued":{"date-parts":[["2025"]]},"title":"Ageing and health","type":"webpage"},"uris":["http://www.mendeley.com/documents/?uuid=fac2c821-8682-4c7d-b551-3d693d74a0de"]}],"mendeley":{"formattedCitation":"(World Helath Organization (WHO), 2025)","plainTextFormattedCitation":"(World Helath Organization (WHO), 2025)","previouslyFormattedCitation":"(World Helath Organization (WHO), 2025)"},"properties":{"noteIndex":0},"schema":"https://github.com/citation-style-language/schema/raw/master/csl-citation.json"}</w:instrText>
      </w:r>
      <w:r>
        <w:fldChar w:fldCharType="separate"/>
      </w:r>
      <w:r w:rsidRPr="00EC279B">
        <w:rPr>
          <w:noProof/>
        </w:rPr>
        <w:t>(World Helath Organization (WHO), 2025)</w:t>
      </w:r>
      <w:r>
        <w:fldChar w:fldCharType="end"/>
      </w:r>
      <w:r w:rsidRPr="00EC279B">
        <w:t xml:space="preserve">. Penuaan merupakan fase kehidupan yang tidak terelakkan dan sering disertai perubahan sistem metabolik yang berdampak pada kontrol glukosa darah </w:t>
      </w:r>
      <w:r w:rsidR="0088535E">
        <w:fldChar w:fldCharType="begin" w:fldLock="1"/>
      </w:r>
      <w:r w:rsidR="0088535E">
        <w:instrText>ADDIN CSL_CITATION {"citationItems":[{"id":"ITEM-1","itemData":{"author":[{"dropping-particle":"","family":"United Nations","given":"","non-dropping-particle":"","parse-names":false,"suffix":""}],"id":"ITEM-1","issued":{"date-parts":[["2022"]]},"publisher-place":"Bangkok","title":"Asia-Pacific Report on Population Ageing 2022","type":"report"},"uris":["http://www.mendeley.com/documents/?uuid=dde87a95-3f16-4644-a12f-2dd7cb742c87"]}],"mendeley":{"formattedCitation":"(United Nations, 2022)","plainTextFormattedCitation":"(United Nations, 2022)","previouslyFormattedCitation":"(United Nations, 2022)"},"properties":{"noteIndex":0},"schema":"https://github.com/citation-style-language/schema/raw/master/csl-citation.json"}</w:instrText>
      </w:r>
      <w:r w:rsidR="0088535E">
        <w:fldChar w:fldCharType="separate"/>
      </w:r>
      <w:r w:rsidR="0088535E" w:rsidRPr="0088535E">
        <w:rPr>
          <w:noProof/>
        </w:rPr>
        <w:t>(United Nations, 2022)</w:t>
      </w:r>
      <w:r w:rsidR="0088535E">
        <w:fldChar w:fldCharType="end"/>
      </w:r>
      <w:r w:rsidRPr="00EC279B">
        <w:t>.</w:t>
      </w:r>
    </w:p>
    <w:p w14:paraId="158C1590" w14:textId="77777777" w:rsidR="001938A1" w:rsidRDefault="00EC279B" w:rsidP="003272CD">
      <w:pPr>
        <w:ind w:firstLine="284"/>
        <w:jc w:val="both"/>
      </w:pPr>
      <w:r w:rsidRPr="00EC279B">
        <w:t>Diabetes Mellitus tipe 2 merupakan penyakit metabolik kronis yang membutuhkan pengelolaan jangka panjang dan berkelanjutan. Ketidakstabilan kadar gula darah pada penderita DM tipe 2 umumnya disebabkan oleh ketidakseimbangan antara asupan makanan, aktivitas fisik, dan kepatuhan terhadap pengobatan. Perubahan gaya hidup modern, seperti pola makan tidak sehat, penurunan aktivitas fisik, dan peningkatan obesitas, berkontribusi signifikan terhadap meningkatnya prevalensi DM tipe 2 secara global</w:t>
      </w:r>
      <w:r w:rsidR="0088535E">
        <w:t xml:space="preserve"> </w:t>
      </w:r>
      <w:r w:rsidR="00FC0FC6">
        <w:fldChar w:fldCharType="begin" w:fldLock="1"/>
      </w:r>
      <w:r w:rsidR="00FC0FC6">
        <w:instrText>ADDIN CSL_CITATION {"citationItems":[{"id":"ITEM-1","itemData":{"DOI":"10.1038/nrendo.2017.151","ISSN":"1759-5037","abstract":"Globally, about 1 in 11 adults have diabetes mellitus (90% have type 2 diabetes mellitus (T2DM)), and Asia is the epicentre of this global T2DM epidemic.The major driving factors of the global T2DM epidemic include overweight and obesity, sedentary lifestyle and increased consumption of unhealthy diets containing high levels of red meat and processed meat, refined grains and sugar-sweetened beverages.Given its global influence, it is essential to break the vicious cycle of diabetes mellitus begetting diabetes mellitus over generations by implementing effective strategies to prevent gestational diabetes mellitus.Among patients with T2DM, cardiovascular complications are the leading cause of morbidity and mortality, and kidney complications are highly prevalent in patients in Asia with diabetes mellitus.Major clinical trials have demonstrated that diet and lifestyle modifications are effective in preventing T2DM in high-risk individuals.T2DM management strategies including lifestyle modifications, social support and ensuring medication adherence are key to reducing the incidence of diabetes mellitus complications.","author":[{"dropping-particle":"","family":"Zheng","given":"Yan","non-dropping-particle":"","parse-names":false,"suffix":""},{"dropping-particle":"","family":"Ley","given":"Sylvia H","non-dropping-particle":"","parse-names":false,"suffix":""},{"dropping-particle":"","family":"Hu","given":"Frank B","non-dropping-particle":"","parse-names":false,"suffix":""}],"container-title":"Nature Reviews Endocrinology","id":"ITEM-1","issue":"2","issued":{"date-parts":[["2018"]]},"page":"88-98","title":"Global aetiology and epidemiology of type 2 diabetes mellitus and its complications","type":"article-journal","volume":"14"},"uris":["http://www.mendeley.com/documents/?uuid=705e2955-6b5a-4706-a875-0c81cdde0464"]},{"id":"ITEM-2","itemData":{"author":[{"dropping-particle":"","family":"American Diabetes Association (ADA)","given":"","non-dropping-particle":"","parse-names":false,"suffix":""}],"container-title":"Diabetes Care","id":"ITEM-2","issue":"January","issued":{"date-parts":[["2024"]]},"page":"1-4","title":"Introduction and Methodology : Standards of Care in Diabetes — 2024","type":"article-journal","volume":"47"},"uris":["http://www.mendeley.com/documents/?uuid=b67c1e0f-d632-474d-ae8e-8698a0d9c239"]}],"mendeley":{"formattedCitation":"(American Diabetes Association (ADA), 2024; Zheng et al., 2018)","plainTextFormattedCitation":"(American Diabetes Association (ADA), 2024; Zheng et al., 2018)","previouslyFormattedCitation":"(American Diabetes Association (ADA), 2024; Zheng et al., 2018)"},"properties":{"noteIndex":0},"schema":"https://github.com/citation-style-language/schema/raw/master/csl-citation.json"}</w:instrText>
      </w:r>
      <w:r w:rsidR="00FC0FC6">
        <w:fldChar w:fldCharType="separate"/>
      </w:r>
      <w:r w:rsidR="00FC0FC6" w:rsidRPr="00FC0FC6">
        <w:rPr>
          <w:noProof/>
        </w:rPr>
        <w:t>(American Diabetes Association (ADA), 2024; Zheng et al., 2018)</w:t>
      </w:r>
      <w:r w:rsidR="00FC0FC6">
        <w:fldChar w:fldCharType="end"/>
      </w:r>
      <w:r w:rsidRPr="00EC279B">
        <w:t>. Kondisi ini menjadikan DM tipe 2 sebagai salah satu masalah kesehatan utama baik di negara maju maupun berkembang.</w:t>
      </w:r>
    </w:p>
    <w:p w14:paraId="64B806F4" w14:textId="77777777" w:rsidR="001938A1" w:rsidRDefault="00EC279B" w:rsidP="003272CD">
      <w:pPr>
        <w:ind w:firstLine="284"/>
        <w:jc w:val="both"/>
      </w:pPr>
      <w:r w:rsidRPr="00EC279B">
        <w:t>Secara global, International Diabetes Federation (IDF) melaporkan bahwa jumlah penderita diabetes terus meningkat, dengan proyeksi peningkatan signifikan pada negara berpenghasilan menengah, termasuk Indonesia</w:t>
      </w:r>
      <w:r w:rsidR="00FC0FC6">
        <w:t xml:space="preserve"> </w:t>
      </w:r>
      <w:r w:rsidR="00FC0FC6">
        <w:fldChar w:fldCharType="begin" w:fldLock="1"/>
      </w:r>
      <w:r w:rsidR="00FC0FC6">
        <w:instrText>ADDIN CSL_CITATION {"citationItems":[{"id":"ITEM-1","itemData":{"ISBN":"9782930229966","author":[{"dropping-particle":"","family":"International Diabetes Federation (IDF)","given":"","non-dropping-particle":"","parse-names":false,"suffix":""}],"edition":"11","id":"ITEM-1","issued":{"date-parts":[["2025"]]},"publisher":"NCBI Bookshelf","publisher-place":"Brussels","title":"IDF Diabetes Atlas","type":"book"},"uris":["http://www.mendeley.com/documents/?uuid=0330f742-6ae4-4e2d-9e21-61a00a052732"]}],"mendeley":{"formattedCitation":"(International Diabetes Federation (IDF), 2025)","plainTextFormattedCitation":"(International Diabetes Federation (IDF), 2025)","previouslyFormattedCitation":"(International Diabetes Federation (IDF), 2025)"},"properties":{"noteIndex":0},"schema":"https://github.com/citation-style-language/schema/raw/master/csl-citation.json"}</w:instrText>
      </w:r>
      <w:r w:rsidR="00FC0FC6">
        <w:fldChar w:fldCharType="separate"/>
      </w:r>
      <w:r w:rsidR="00FC0FC6" w:rsidRPr="00FC0FC6">
        <w:rPr>
          <w:noProof/>
        </w:rPr>
        <w:t>(International Diabetes Federation (IDF), 2025)</w:t>
      </w:r>
      <w:r w:rsidR="00FC0FC6">
        <w:fldChar w:fldCharType="end"/>
      </w:r>
      <w:r w:rsidRPr="00EC279B">
        <w:t xml:space="preserve">. WHO memproyeksikan bahwa pada tahun 2030 Indonesia akan termasuk dalam empat besar negara dengan jumlah penderita diabetes tertinggi di dunia </w:t>
      </w:r>
      <w:r w:rsidR="00FC0FC6">
        <w:fldChar w:fldCharType="begin" w:fldLock="1"/>
      </w:r>
      <w:r w:rsidR="00FC0FC6">
        <w:instrText>ADDIN CSL_CITATION {"citationItems":[{"id":"ITEM-1","itemData":{"URL":"https://www.who.int/news-room/fact-sheets/detail/diabetes","author":[{"dropping-particle":"","family":"World Helath Organization (WHO)","given":"","non-dropping-particle":"","parse-names":false,"suffix":""}],"id":"ITEM-1","issued":{"date-parts":[["2024"]]},"page":"1-5","title":"Diabetes","type":"webpage"},"uris":["http://www.mendeley.com/documents/?uuid=6c482339-59f4-48d9-9013-70905acabf6c"]}],"mendeley":{"formattedCitation":"(World Helath Organization (WHO), 2024)","plainTextFormattedCitation":"(World Helath Organization (WHO), 2024)","previouslyFormattedCitation":"(World Helath Organization (WHO), 2024)"},"properties":{"noteIndex":0},"schema":"https://github.com/citation-style-language/schema/raw/master/csl-citation.json"}</w:instrText>
      </w:r>
      <w:r w:rsidR="00FC0FC6">
        <w:fldChar w:fldCharType="separate"/>
      </w:r>
      <w:r w:rsidR="00FC0FC6" w:rsidRPr="00FC0FC6">
        <w:rPr>
          <w:noProof/>
        </w:rPr>
        <w:t>(World Helath Organization (WHO), 2024)</w:t>
      </w:r>
      <w:r w:rsidR="00FC0FC6">
        <w:fldChar w:fldCharType="end"/>
      </w:r>
      <w:r w:rsidRPr="00EC279B">
        <w:t xml:space="preserve">. Data nasional juga menunjukkan peningkatan prevalensi DM di Indonesia, yang mencerminkan tingginya beban penyakit kronis ini, terutama pada kelompok usia lanjut </w:t>
      </w:r>
      <w:r w:rsidR="00FC0FC6">
        <w:fldChar w:fldCharType="begin" w:fldLock="1"/>
      </w:r>
      <w:r w:rsidR="00E55493">
        <w:instrText>ADDIN CSL_CITATION {"citationItems":[{"id":"ITEM-1","itemData":{"author":[{"dropping-particle":"","family":"Ministry of Health of the Republic of Indonesia","given":"","non-dropping-particle":"","parse-names":false,"suffix":""}],"container-title":"National Institute of Health Research and Development","id":"ITEM-1","issued":{"date-parts":[["2018"]]},"publisher-place":"Jakarta","title":"Basic Health Research (Riskesdas) Report 2018","type":"report"},"uris":["http://www.mendeley.com/documents/?uuid=74720659-3dc9-405d-bf27-759f09c27b8e"]}],"mendeley":{"formattedCitation":"(Ministry of Health of the Republic of Indonesia, 2018)","plainTextFormattedCitation":"(Ministry of Health of the Republic of Indonesia, 2018)","previouslyFormattedCitation":"(Ministry of Health of the Republic of Indonesia, 2018)"},"properties":{"noteIndex":0},"schema":"https://github.com/citation-style-language/schema/raw/master/csl-citation.json"}</w:instrText>
      </w:r>
      <w:r w:rsidR="00FC0FC6">
        <w:fldChar w:fldCharType="separate"/>
      </w:r>
      <w:r w:rsidR="00FC0FC6" w:rsidRPr="00FC0FC6">
        <w:rPr>
          <w:noProof/>
        </w:rPr>
        <w:t>(Ministry of Health of the Republic of Indonesia, 2018)</w:t>
      </w:r>
      <w:r w:rsidR="00FC0FC6">
        <w:fldChar w:fldCharType="end"/>
      </w:r>
      <w:r w:rsidRPr="00EC279B">
        <w:t>. Kondisi tersebut menegaskan bahwa DM merupakan masalah kesehatan yang semakin mendesak dan memerlukan intervensi yang efektif, khususnya pada populasi lansia.</w:t>
      </w:r>
    </w:p>
    <w:p w14:paraId="60E95ED6" w14:textId="77777777" w:rsidR="001938A1" w:rsidRDefault="00EC279B" w:rsidP="003272CD">
      <w:pPr>
        <w:ind w:firstLine="284"/>
        <w:jc w:val="both"/>
      </w:pPr>
      <w:r w:rsidRPr="00EC279B">
        <w:t>Lansia yang tinggal di panti sosial atau lembaga pelayanan lanjut usia, seperti Panti Rehabilitasi Sosial Lanjut Usia (PRSLU), memiliki karakteristik khusus, antara lain keterbatasan aktivitas fisik, ketergantungan pada perawatan institusional, serta tingginya komorbiditas. Lansia institusional umumnya memiliki risiko lebih tinggi terhadap penurunan status kesehatan akibat keterbatasan mobilitas dan aktivitas sehari-hari</w:t>
      </w:r>
      <w:r w:rsidR="00E55493">
        <w:t xml:space="preserve"> </w:t>
      </w:r>
      <w:r w:rsidR="00E55493">
        <w:fldChar w:fldCharType="begin" w:fldLock="1"/>
      </w:r>
      <w:r w:rsidR="00E55493">
        <w:instrText>ADDIN CSL_CITATION {"citationItems":[{"id":"ITEM-1","itemData":{"DOI":"10.1093/ageing/afu120","ISSN":"0002-0729","abstract":"Background: excess weight is a risk factor for numerous co-morbidities that predominantly occur in later life. This study's purpose was to analyse the association between excess weight and health service use/costs in the older population in Germany.Methods: this cross-sectional analysis used data of n = 3,108 individuals aged 58–82 from a population-based prospective cohort study. Body mass index (BMI) and waist-to-height ratio (WHtR) were calculated based on clinical examinations. Health service use was measured by a questionnaire for a 3-month period. Corresponding costs were calculated applying a societal perspective.Results: 21.8% of the sample were normal weight, 43.0% overweight, 25.5% obese class 1 and 9.6% obese class ≥2 according to BMI. In 42.6%, WHtR was ≥0.6. For normal weight, overweight, obese class 1 and obese class ≥2 individuals, mean costs (3-month period) of outpatient care were 384€, 435€, 475€ and 525€ (P &amp;lt; 0.001), mean costs of inpatient care were 284€, 408€, 333€ and 652€ (P = 0.070) and mean total costs 716€, 891€, 852€ and 1,244€ (P = 0.013). For individuals with WHtR &amp;lt;0.6 versus ≥0.6, outpatient costs were 401€ versus 499€ (P &amp;lt; 0.001), inpatient costs 315€ versus 480€ (P = 0.016) and total costs 755€ versus 1,041€ (P &amp;lt; 0.001). Multiple regression analyses controlling for sociodemographic variables showed a significant effect of obesity on costs of outpatient care (class 1: +72€; class ≥2: +153€) and total costs (class ≥2: +361€) while the effect of overweight was not significant. WHtR ≥0.6 significantly increased outpatient costs by +79€ and total costs by +189€.Conclusions: excess weight is associated with increased service use and cost in elderly individuals, in particular in obese class ≥2 individuals.","author":[{"dropping-particle":"","family":"König","given":"Hans-Helmut","non-dropping-particle":"","parse-names":false,"suffix":""},{"dropping-particle":"","family":"Lehnert","given":"Thomas","non-dropping-particle":"","parse-names":false,"suffix":""},{"dropping-particle":"","family":"Brenner","given":"Hermann","non-dropping-particle":"","parse-names":false,"suffix":""},{"dropping-particle":"","family":"Schöttker","given":"Ben","non-dropping-particle":"","parse-names":false,"suffix":""},{"dropping-particle":"","family":"Quinzler","given":"Renate","non-dropping-particle":"","parse-names":false,"suffix":""},{"dropping-particle":"","family":"Haefeli","given":"Walter Emil","non-dropping-particle":"","parse-names":false,"suffix":""},{"dropping-particle":"","family":"Matschinger","given":"Herbert","non-dropping-particle":"","parse-names":false,"suffix":""},{"dropping-particle":"","family":"Heider","given":"Dirk","non-dropping-particle":"","parse-names":false,"suffix":""}],"container-title":"Age and Ageing","id":"ITEM-1","issue":"4","issued":{"date-parts":[["2015","7","1"]]},"page":"616-623","title":"Health service use and costs associated with excess weight in older adults in Germany","type":"article-journal","volume":"44"},"uris":["http://www.mendeley.com/documents/?uuid=fbb2f503-7400-4503-86b2-cf960b36b478"]},{"id":"ITEM-2","itemData":{"DOI":"10.1016/j.jamda.2014.12.013","ISSN":"1525-8610","author":[{"dropping-particle":"","family":"Sanford","given":"Angela M","non-dropping-particle":"","parse-names":false,"suffix":""},{"dropping-particle":"","family":"Orrell","given":"Martin","non-dropping-particle":"","parse-names":false,"suffix":""},{"dropping-particle":"","family":"Tolson","given":"Debbie","non-dropping-particle":"","parse-names":false,"suffix":""},{"dropping-particle":"","family":"Abbatecola","given":"Angela Marie","non-dropping-particle":"","parse-names":false,"suffix":""},{"dropping-particle":"","family":"Arai","given":"Hidenori","non-dropping-particle":"","parse-names":false,"suffix":""},{"dropping-particle":"","family":"Bauer","given":"Juergen M","non-dropping-particle":"","parse-names":false,"suffix":""},{"dropping-particle":"","family":"Cruz-Jentoft","given":"Alfonso J","non-dropping-particle":"","parse-names":false,"suffix":""},{"dropping-particle":"","family":"Dong","given":"Birong","non-dropping-particle":"","parse-names":false,"suffix":""},{"dropping-particle":"","family":"Ga","given":"Hyuk","non-dropping-particle":"","parse-names":false,"suffix":""},{"dropping-particle":"","family":"Goel","given":"Ashish","non-dropping-particle":"","parse-names":false,"suffix":""},{"dropping-particle":"","family":"Hajjar","given":"Ramzi","non-dropping-particle":"","parse-names":false,"suffix":""},{"dropping-particle":"","family":"Holmerova","given":"Iva","non-dropping-particle":"","parse-names":false,"suffix":""},{"dropping-particle":"","family":"Katz","given":"Paul R","non-dropping-particle":"","parse-names":false,"suffix":""},{"dropping-particle":"","family":"Koopmans","given":"Raymond T C M","non-dropping-particle":"","parse-names":false,"suffix":""},{"dropping-particle":"","family":"Rolland","given":"Yves","non-dropping-particle":"","parse-names":false,"suffix":""},{"dropping-particle":"","family":"Visvanathan","given":"Renuka","non-dropping-particle":"","parse-names":false,"suffix":""},{"dropping-particle":"","family":"Woo","given":"Jean","non-dropping-particle":"","parse-names":false,"suffix":""},{"dropping-particle":"","family":"Morley","given":"John E","non-dropping-particle":"","parse-names":false,"suffix":""},{"dropping-particle":"","family":"Vellas","given":"Bruno","non-dropping-particle":"","parse-names":false,"suffix":""}],"container-title":"Journal of the American Medical Directors Association","id":"ITEM-2","issue":"3","issued":{"date-parts":[["2015","3","1"]]},"note":"doi: 10.1016/j.jamda.2014.12.013","page":"181-184","publisher":"Elsevier","title":"An International Definition for &amp;#x201c;Nursing Home&amp;#x201d;","type":"article-journal","volume":"16"},"uris":["http://www.mendeley.com/documents/?uuid=db4b5281-1843-4d30-999b-18ec72a75ffd"]}],"mendeley":{"formattedCitation":"(König et al., 2015; Sanford et al., 2015)","plainTextFormattedCitation":"(König et al., 2015; Sanford et al., 2015)","previouslyFormattedCitation":"(König et al., 2015; Sanford et al., 2015)"},"properties":{"noteIndex":0},"schema":"https://github.com/citation-style-language/schema/raw/master/csl-citation.json"}</w:instrText>
      </w:r>
      <w:r w:rsidR="00E55493">
        <w:fldChar w:fldCharType="separate"/>
      </w:r>
      <w:r w:rsidR="00E55493" w:rsidRPr="00E55493">
        <w:rPr>
          <w:noProof/>
        </w:rPr>
        <w:t>(König et al., 2015; Sanford et al., 2015)</w:t>
      </w:r>
      <w:r w:rsidR="00E55493">
        <w:fldChar w:fldCharType="end"/>
      </w:r>
      <w:r w:rsidRPr="00EC279B">
        <w:t>. Kondisi ini berpotensi memperburuk pengendalian kadar gula darah apabila tidak disertai dengan intervensi nonfarmakologis yang sesuai dan mudah diterapkan di lingkungan panti.</w:t>
      </w:r>
    </w:p>
    <w:p w14:paraId="6F9B5746" w14:textId="77777777" w:rsidR="001938A1" w:rsidRDefault="00EC279B" w:rsidP="003272CD">
      <w:pPr>
        <w:ind w:firstLine="284"/>
        <w:jc w:val="both"/>
      </w:pPr>
      <w:r w:rsidRPr="00EC279B">
        <w:t xml:space="preserve">Salah satu intervensi nonfarmakologis yang </w:t>
      </w:r>
      <w:r w:rsidRPr="00EC279B">
        <w:lastRenderedPageBreak/>
        <w:t>direkomendasikan dalam pengelolaan DM adalah aktivitas fisik teratur. Aktivitas fisik, termasuk senam kaki diabetes, terbukti mampu meningkatkan sensitivitas insulin, memperbaiki sirkulasi perifer, serta meningkatkan pemanfaatan glukosa oleh jaringan otot</w:t>
      </w:r>
      <w:r w:rsidR="00E55493">
        <w:t xml:space="preserve"> </w:t>
      </w:r>
      <w:r w:rsidR="00E55493">
        <w:fldChar w:fldCharType="begin" w:fldLock="1"/>
      </w:r>
      <w:r w:rsidR="00E55493">
        <w:instrText>ADDIN CSL_CITATION {"citationItems":[{"id":"ITEM-1","itemData":{"DOI":"10.2337/dci22-0034","ISSN":"0149-5992","abstract":"The American Diabetes Association and the European Association for the Study of Diabetes convened a panel to update the previous consensus statements on the management of hyperglycemia in type 2 diabetes in adults, published since 2006 and last updated in 2019. The target audience is the full spectrum of the professional health care team providing diabetes care in the U.S. and Europe. A systematic examination of publications since 2018 informed new recommendations. These include additional focus on social determinants of health, the health care system, and physical activity behaviors, including sleep. There is a greater emphasis on weight management as part of the holistic approach to diabetes management. The results of cardiovascular and kidney outcomes trials involving sodium–glucose cotransporter 2 inhibitors and glucagon-like peptide 1 receptor agonists, including assessment of subgroups, inform broader recommendations for cardiorenal protection in people with diabetes at high risk of cardiorenal disease. After a summary listing of consensus recommendations, practical tips for implementation are provided.","author":[{"dropping-particle":"","family":"Davies","given":"Melanie J","non-dropping-particle":"","parse-names":false,"suffix":""},{"dropping-particle":"","family":"Aroda","given":"Vanita R","non-dropping-particle":"","parse-names":false,"suffix":""},{"dropping-particle":"","family":"Collins","given":"Billy S","non-dropping-particle":"","parse-names":false,"suffix":""},{"dropping-particle":"","family":"Gabbay","given":"Robert A","non-dropping-particle":"","parse-names":false,"suffix":""},{"dropping-particle":"","family":"Green","given":"Jennifer","non-dropping-particle":"","parse-names":false,"suffix":""},{"dropping-particle":"","family":"Maruthur","given":"Nisa M","non-dropping-particle":"","parse-names":false,"suffix":""},{"dropping-particle":"","family":"Rosas","given":"Sylvia E","non-dropping-particle":"","parse-names":false,"suffix":""},{"dropping-particle":"","family":"Prato","given":"Stefano","non-dropping-particle":"Del","parse-names":false,"suffix":""},{"dropping-particle":"","family":"Mathieu","given":"Chantal","non-dropping-particle":"","parse-names":false,"suffix":""},{"dropping-particle":"","family":"Mingrone","given":"Geltrude","non-dropping-particle":"","parse-names":false,"suffix":""},{"dropping-particle":"","family":"Rossing","given":"Peter","non-dropping-particle":"","parse-names":false,"suffix":""},{"dropping-particle":"","family":"Tankova","given":"Tsvetalina","non-dropping-particle":"","parse-names":false,"suffix":""},{"dropping-particle":"","family":"Tsapas","given":"Apostolos","non-dropping-particle":"","parse-names":false,"suffix":""},{"dropping-particle":"","family":"Buse","given":"John B","non-dropping-particle":"","parse-names":false,"suffix":""}],"container-title":"Diabetes Care","id":"ITEM-1","issue":"11","issued":{"date-parts":[["2022","9","28"]]},"page":"2753-2786","title":"Management of Hyperglycemia in Type 2 Diabetes, 2022. A Consensus Report by the American Diabetes Association (ADA) and the European Association for the Study of Diabetes (EASD)","type":"article-journal","volume":"45"},"uris":["http://www.mendeley.com/documents/?uuid=2d79ad09-08a0-41e0-9abd-de2bb55f79a2"]}],"mendeley":{"formattedCitation":"(Davies et al., 2022)","plainTextFormattedCitation":"(Davies et al., 2022)","previouslyFormattedCitation":"(Davies et al., 2022)"},"properties":{"noteIndex":0},"schema":"https://github.com/citation-style-language/schema/raw/master/csl-citation.json"}</w:instrText>
      </w:r>
      <w:r w:rsidR="00E55493">
        <w:fldChar w:fldCharType="separate"/>
      </w:r>
      <w:r w:rsidR="00E55493" w:rsidRPr="00E55493">
        <w:rPr>
          <w:noProof/>
        </w:rPr>
        <w:t>(Davies et al., 2022)</w:t>
      </w:r>
      <w:r w:rsidR="00E55493">
        <w:fldChar w:fldCharType="end"/>
      </w:r>
      <w:r w:rsidRPr="00EC279B">
        <w:t xml:space="preserve">. Pada lansia, latihan fisik intensitas ringan hingga sedang dinilai aman, mudah dilakukan, serta efektif dalam mendukung kontrol glikemik </w:t>
      </w:r>
      <w:r w:rsidR="00E55493">
        <w:fldChar w:fldCharType="begin" w:fldLock="1"/>
      </w:r>
      <w:r w:rsidR="00E55493">
        <w:instrText>ADDIN CSL_CITATION {"citationItems":[{"id":"ITEM-1","itemData":{"DOI":"10.2337/dc22-1645","ISSN":"0149-5992","abstract":"Produce prescriptions have shown promise in improving diabetes care, although most studies have used small samples or lacked controls. Our objective was to evaluate the impacts of a produce prescription program on glycemic control for patients with diabetes.Participants included a nonrandom enrollment of 252 patients with diabetes who received a produce prescription and 534 similar control participants from two clinics in Hartford, Connecticut. The start of the COVID-19 pandemic in March 2020 coincided with program implementation. Produce prescription enrollees received vouchers ($60 per month) for 6 months to purchase produce at grocery retail. Controls received usual care. The primary outcome was change in glycated hemoglobin (HbA1c) between treatment and control at 6 months. Secondary outcomes included 6-month changes in systolic (SBP) and diastolic blood pressure (DBP), BMI, hospitalizations, and emergency department admissions. Longitudinal generalized estimating equation models, weighted with propensity score overlap weights, assessed changes in outcomes over time.At 6 months, there was no significant difference in change in HbA1c between treatment and control groups, with a difference of 0.13 percentage points (95% CI −0.05, 0.32). No significant difference was observed for change in SBP (3.85 mmHg; −0.12, 7.82), DBP (−0.82 mmHg; −2.42, 0.79), or BMI (−0.22 kg/m2; −1.83, 1.38). Incidence rate ratios for hospitalizations and emergency department visits were 0.54 (0.14, 1.95) and 0.53 (0.06, 4.72), respectively.A 6-month produce prescription program for patients with diabetes, implemented during the onset of the COVID-19 pandemic, was not associated with improved glycemic control.","author":[{"dropping-particle":"","family":"Hager","given":"Kurt","non-dropping-particle":"","parse-names":false,"suffix":""},{"dropping-particle":"","family":"Shi","given":"Peilin","non-dropping-particle":"","parse-names":false,"suffix":""},{"dropping-particle":"","family":"Li","given":"Zhongyu","non-dropping-particle":"","parse-names":false,"suffix":""},{"dropping-particle":"","family":"Chui","given":"Kenneth","non-dropping-particle":"","parse-names":false,"suffix":""},{"dropping-particle":"","family":"Berkowitz","given":"Seth A","non-dropping-particle":"","parse-names":false,"suffix":""},{"dropping-particle":"","family":"Mozaffarian","given":"Dariush","non-dropping-particle":"","parse-names":false,"suffix":""},{"dropping-particle":"","family":"Chhabra","given":"Jyoti","non-dropping-particle":"","parse-names":false,"suffix":""},{"dropping-particle":"","family":"Wilken","given":"Joel","non-dropping-particle":"","parse-names":false,"suffix":""},{"dropping-particle":"","family":"Vergara","given":"Cunegundo","non-dropping-particle":"","parse-names":false,"suffix":""},{"dropping-particle":"","family":"Becker","given":"Erica","non-dropping-particle":"","parse-names":false,"suffix":""},{"dropping-particle":"","family":"Small","given":"Sara","non-dropping-particle":"","parse-names":false,"suffix":""},{"dropping-particle":"","family":"Ling","given":"Brent","non-dropping-particle":"","parse-names":false,"suffix":""},{"dropping-particle":"","family":"Cash","given":"Sean B","non-dropping-particle":"","parse-names":false,"suffix":""},{"dropping-particle":"","family":"Folta","given":"Sara C","non-dropping-particle":"","parse-names":false,"suffix":""},{"dropping-particle":"","family":"Zhang","given":"Fang Fang","non-dropping-particle":"","parse-names":false,"suffix":""}],"container-title":"Diabetes Care","id":"ITEM-1","issue":"6","issued":{"date-parts":[["2023","2","22"]]},"page":"1169-1176","title":"Evaluation of a Produce Prescription Program for Patients With Diabetes: A Longitudinal Analysis of Glycemic Control","type":"article-journal","volume":"46"},"uris":["http://www.mendeley.com/documents/?uuid=00cdb9fd-728c-4b5f-bf11-64529ef34c83"]}],"mendeley":{"formattedCitation":"(Hager et al., 2023)","plainTextFormattedCitation":"(Hager et al., 2023)","previouslyFormattedCitation":"(Hager et al., 2023)"},"properties":{"noteIndex":0},"schema":"https://github.com/citation-style-language/schema/raw/master/csl-citation.json"}</w:instrText>
      </w:r>
      <w:r w:rsidR="00E55493">
        <w:fldChar w:fldCharType="separate"/>
      </w:r>
      <w:r w:rsidR="00E55493" w:rsidRPr="00E55493">
        <w:rPr>
          <w:noProof/>
        </w:rPr>
        <w:t>(Hager et al., 2023)</w:t>
      </w:r>
      <w:r w:rsidR="00E55493">
        <w:fldChar w:fldCharType="end"/>
      </w:r>
      <w:r w:rsidRPr="00EC279B">
        <w:t>. Senam kaki diabetes secara khusus bermanfaat dalam meningkatkan fleksibilitas sendi, kekuatan otot ekstremitas bawah, serta mencegah komplikasi kaki diabetik, sehingga sesuai untuk lansia dengan keterbatasan mobilitas.</w:t>
      </w:r>
    </w:p>
    <w:p w14:paraId="6D39D8A8" w14:textId="77777777" w:rsidR="001938A1" w:rsidRDefault="00EC279B" w:rsidP="003272CD">
      <w:pPr>
        <w:ind w:firstLine="284"/>
        <w:jc w:val="both"/>
      </w:pPr>
      <w:r w:rsidRPr="00EC279B">
        <w:t>Selain aktivitas fisik, akupresur juga banyak digunakan sebagai terapi komplementer dalam pengelolaan DM. Akupresur merupakan teknik stimulasi titik-titik meridian tertentu dengan tekanan jari yang bertujuan menyeimbangkan fungsi organ tubuh. Secara fisiologis, akupresur dapat memengaruhi sistem saraf pusat dan sistem endokrin, termasuk regulasi hormon yang berperan dalam metabolisme glukosa</w:t>
      </w:r>
      <w:r w:rsidR="00E55493">
        <w:t xml:space="preserve"> </w:t>
      </w:r>
      <w:r w:rsidR="00E55493">
        <w:fldChar w:fldCharType="begin" w:fldLock="1"/>
      </w:r>
      <w:r w:rsidR="001938A1">
        <w:instrText>ADDIN CSL_CITATION {"citationItems":[{"id":"ITEM-1","itemData":{"DOI":"10.3389/fendo.2025.1596062","ISSN":"1664-2392","abstract":"PurposeThis meta-analysis aimed to ascertain the effectiveness of acupuncture in treating clinical symptoms of type 2 diabetes mellitus (T2DM) and to summarize the acupoints and meridians involved.MethodsPubMed, Web of Science, Cochrane Library, Embase, China National Knowledge Infrastructure (CNKI), and Wanfang were thoroughly retrieved to acquire randomized controlled trials (RCTs) evaluating acupuncture as an adjunct treatment for T2DM. Outcome measures focused on improvements in T2DM clinical symptoms. The meta-analysis was implemented leveraging RevMan 5.4 and Stata 15 software, with sensitivity and subgroup analyses to assess the stability of results and identify heterogeneity sources.Results21 RCTs encompassing 2,117 individuals with T2DM were analyzed. The results of 2-hour postprandial glucose (2h PG), body mass index (BMI), fasting blood glucose (FBG), high-density lipoprotein (HDL), low-density lipoprotein (LDL), bilateral median nerve motor conduction velocity, and plasma viscosity were reliable. No publication bias was noted, except for Packed Cell Volume (PCV) and Traditional Chinese Medicine Syndrome Score Scale (TCMSS). The meta-analysis showed that acupuncture significantly improved clinical markers such as glycated hemoglobin A1c (HbA1c), 2h PG, FBG, and fasting serum insulin (FINS). Subgroup analysis for FBG, 2h PG, and triglycerides (TG) indicated that the primary source of heterogeneity for FBG was related to participants with uncomplicated T2DM and a treatment duration of less than three months. No significant heterogeneity was observed for 2h PG, while the TG data were unstable.ConclusionAcupuncture can significantly alleviate the main clinical symptoms of T2DM, but significant heterogeneity was observed for individual indicators. Further investigation is needed to corroborate its precise therapeutic effectiveness and identify potential influencing factors.Systematic review registrationhttps://www.crd.york.ac.uk/PROSPERO/view/CRD42024602165, identifier CRD42024602165.","author":[{"dropping-particle":"","family":"Si","given":"Yuqi","non-dropping-particle":"","parse-names":false,"suffix":""},{"dropping-particle":"","family":"Chen","given":"Jiayao","non-dropping-particle":"","parse-names":false,"suffix":""},{"dropping-particle":"","family":"Chen","given":"Lizhu","non-dropping-particle":"","parse-names":false,"suffix":""},{"dropping-particle":"","family":"Zheng","given":"Yan","non-dropping-particle":"","parse-names":false,"suffix":""},{"dropping-particle":"","family":"Qiu","given":"Yixuan","non-dropping-particle":"","parse-names":false,"suffix":""},{"dropping-particle":"","family":"Wang","given":"Beibei","non-dropping-particle":"","parse-names":false,"suffix":""},{"dropping-particle":"","family":"Liang","given":"Yiwen","non-dropping-particle":"","parse-names":false,"suffix":""},{"dropping-particle":"","family":"Zhang","given":"Yubo","non-dropping-particle":"","parse-names":false,"suffix":""},{"dropping-particle":"","family":"Chen","given":"Yaling","non-dropping-particle":"","parse-names":false,"suffix":""}],"container-title":"Frontiers in Endocrinology","id":"ITEM-1","issued":{"date-parts":[["2025"]]},"title":"The effect of acupuncture on blood glucose control in patients with type 2 diabetes: a systematic review and meta-analysis of randomized controlled trials","type":"article-journal","volume":"Volume 16 - 2025"},"uris":["http://www.mendeley.com/documents/?uuid=b638a90a-0940-46ad-a257-8edac1c92a60"]},{"id":"ITEM-2","itemData":{"DOI":"https://doi.org/10.1016/j.ctcp.2021.101393","ISSN":"1744-3881","abstract":"Objective\nThis study aimed to determine the effect of acupressure on stress, fasting blood glucose (FBG) and glycosylated hemoglobin (HBA1C) in patients with type 2 diabetes.\nMethods\nIn this randomized controlled clinical trial, sixty-six diabetic patients who met the inclusion criteria were randomly divided into intervention and sham groups. The intervention group applied self-acupressure to the desired points for a month. The sham group were asked to slightly touch the same points. The DASS-21 and FBG were measured before intervention, 24 h after the intervention for both groups. In addition, HBA1C was measured for both groups before intervention and three months after the beginning of the intervention. Data were analyzed with SPSS 15.\nResults\nStatistical data analysis of 60 patients showed that the mean FBG and the mean stress score of the intervention group reduced significantly after the intervention (p &lt; 0.001) but the mean rate of HBA1C in the intervention group did not differ significantly after the intervention (p = 0.21).\nConclusion\nAcupressure should be considered for diabetic patients to reduce their stress and FBG.","author":[{"dropping-particle":"","family":"Salmani Mood","given":"Maryam","non-dropping-particle":"","parse-names":false,"suffix":""},{"dropping-particle":"","family":"Yavari","given":"Zahra","non-dropping-particle":"","parse-names":false,"suffix":""},{"dropping-particle":"","family":"Bahrami Taghanaki","given":"Hamidreza","non-dropping-particle":"","parse-names":false,"suffix":""},{"dropping-particle":"","family":"Mahmoudirad","given":"Gholamhossein","non-dropping-particle":"","parse-names":false,"suffix":""}],"container-title":"Complementary Therapies in Clinical Practice","id":"ITEM-2","issued":{"date-parts":[["2021"]]},"page":"101393","title":"The effect of acupressure on fasting blood glucose, glycosylated hemoglobin and stress in patients with type 2 diabetes","type":"article-journal","volume":"43"},"uris":["http://www.mendeley.com/documents/?uuid=e7f3378c-e18a-470f-90e0-d26064525f04"]}],"mendeley":{"formattedCitation":"(Salmani Mood et al., 2021; Si et al., 2025)","plainTextFormattedCitation":"(Salmani Mood et al., 2021; Si et al., 2025)","previouslyFormattedCitation":"(Salmani Mood et al., 2021; Si et al., 2025)"},"properties":{"noteIndex":0},"schema":"https://github.com/citation-style-language/schema/raw/master/csl-citation.json"}</w:instrText>
      </w:r>
      <w:r w:rsidR="00E55493">
        <w:fldChar w:fldCharType="separate"/>
      </w:r>
      <w:r w:rsidR="00E55493" w:rsidRPr="00E55493">
        <w:rPr>
          <w:noProof/>
        </w:rPr>
        <w:t>(Salmani Mood et al., 2021; Si et al., 2025)</w:t>
      </w:r>
      <w:r w:rsidR="00E55493">
        <w:fldChar w:fldCharType="end"/>
      </w:r>
      <w:r w:rsidRPr="00EC279B">
        <w:t>. Terapi ini relatif aman, tidak memerlukan alat khusus, dan dapat dilakukan oleh perawat sebagai bagian dari asuhan keperawatan holistik.</w:t>
      </w:r>
    </w:p>
    <w:p w14:paraId="46FC361F" w14:textId="14D4D415" w:rsidR="001938A1" w:rsidRDefault="00EC279B" w:rsidP="003272CD">
      <w:pPr>
        <w:ind w:firstLine="284"/>
        <w:jc w:val="both"/>
      </w:pPr>
      <w:r w:rsidRPr="00EC279B">
        <w:t>Meskipun berbagai penelitian telah melaporkan manfaat senam kaki dan akupresur secara terpisah terhadap pengendalian kadar gula darah pada penderita DM tipe 2, masih terbatas penelitian yang secara langsung membandingkan efektivitas kedua intervensi tersebut, khususnya pada populasi lansia yang tinggal di institusi pelayanan sosial. Literatur terkini lebih banyak menekankan efektivitas aktivitas fisik atau terapi komplementer secara individual, tanpa memberikan bukti komparatif yang kuat mengenai intervensi mana yang lebih efektif dan bermakna secara klinis pada lansia</w:t>
      </w:r>
      <w:r w:rsidR="001938A1">
        <w:t xml:space="preserve"> </w:t>
      </w:r>
      <w:r w:rsidR="001938A1">
        <w:fldChar w:fldCharType="begin" w:fldLock="1"/>
      </w:r>
      <w:r w:rsidR="001938A1">
        <w:instrText>ADDIN CSL_CITATION {"citationItems":[{"id":"ITEM-1","itemData":{"DOI":"10.1016/j.diabres.2024.111982","ISSN":"0168-8227","author":[{"dropping-particle":"","family":"Tonga","given":"Eda","non-dropping-particle":"","parse-names":false,"suffix":""},{"dropping-particle":"","family":"Worboys","given":"Hannah","non-dropping-particle":"","parse-names":false,"suffix":""},{"dropping-particle":"","family":"Evans","given":"Rachael A","non-dropping-particle":"","parse-names":false,"suffix":""},{"dropping-particle":"","family":"Singh","given":"Sally J","non-dropping-particle":"","parse-names":false,"suffix":""},{"dropping-particle":"","family":"Davies","given":"Melanie J","non-dropping-particle":"","parse-names":false,"suffix":""},{"dropping-particle":"","family":"Andre Ng","given":"G","non-dropping-particle":"","parse-names":false,"suffix":""},{"dropping-particle":"","family":"Yates","given":"Thomas","non-dropping-particle":"","parse-names":false,"suffix":""}],"container-title":"Diabetes Research and Clinical Practice","id":"ITEM-1","issued":{"date-parts":[["2025","2","1"]]},"note":"doi: 10.1016/j.diabres.2024.111982","publisher":"Elsevier","title":"Physical activity guidelines for adults with type 2 Diabetes: Systematic review","type":"article-journal","volume":"220"},"uris":["http://www.mendeley.com/documents/?uuid=b99c9947-b4f5-4c69-abb7-9645982df4ff"]}],"mendeley":{"formattedCitation":"(Tonga et al., 2025)","plainTextFormattedCitation":"(Tonga et al., 2025)","previouslyFormattedCitation":"(Tonga et al., 2025)"},"properties":{"noteIndex":0},"schema":"https://github.com/citation-style-language/schema/raw/master/csl-citation.json"}</w:instrText>
      </w:r>
      <w:r w:rsidR="001938A1">
        <w:fldChar w:fldCharType="separate"/>
      </w:r>
      <w:r w:rsidR="001938A1" w:rsidRPr="001938A1">
        <w:rPr>
          <w:noProof/>
        </w:rPr>
        <w:t>(Tonga et al., 2025)</w:t>
      </w:r>
      <w:r w:rsidR="001938A1">
        <w:fldChar w:fldCharType="end"/>
      </w:r>
      <w:r w:rsidRPr="00EC279B">
        <w:t>.</w:t>
      </w:r>
    </w:p>
    <w:p w14:paraId="19D63175" w14:textId="3CDEB616" w:rsidR="00A96CD6" w:rsidRPr="001938A1" w:rsidRDefault="00EC279B" w:rsidP="003272CD">
      <w:pPr>
        <w:ind w:firstLine="284"/>
        <w:jc w:val="both"/>
      </w:pPr>
      <w:r w:rsidRPr="00EC279B">
        <w:t>Oleh karena itu, penelitian ini bertujuan untuk menganalisis dan membandingkan efektivitas senam kaki dan akupresur terhadap penurunan kadar gula darah pada lansia dengan Diabetes Mellitus tipe 2 di PRSLU Karawang. Hasil penelitian ini diharapkan dapat menjadi dasar ilmiah dalam pengembangan intervensi keperawatan nonfarmakologis yang efektif, murah, dan mudah diterapkan dalam perawatan lansia dengan DM, khususnya di lingkungan institusional.</w:t>
      </w:r>
    </w:p>
    <w:p w14:paraId="22B46D7E" w14:textId="77777777" w:rsidR="00EC279B" w:rsidRDefault="00EC279B" w:rsidP="003272CD">
      <w:pPr>
        <w:pStyle w:val="Heading1"/>
        <w:spacing w:line="240" w:lineRule="auto"/>
        <w:ind w:left="0"/>
        <w:rPr>
          <w:spacing w:val="-2"/>
        </w:rPr>
      </w:pPr>
    </w:p>
    <w:p w14:paraId="5A53DF2B" w14:textId="246034CC" w:rsidR="00D44C37" w:rsidRDefault="00E6267D" w:rsidP="003272CD">
      <w:pPr>
        <w:pStyle w:val="Heading1"/>
        <w:spacing w:line="240" w:lineRule="auto"/>
        <w:ind w:left="0"/>
        <w:rPr>
          <w:spacing w:val="-2"/>
        </w:rPr>
      </w:pPr>
      <w:r>
        <w:rPr>
          <w:spacing w:val="-2"/>
        </w:rPr>
        <w:t>METODE</w:t>
      </w:r>
    </w:p>
    <w:p w14:paraId="2A56A0FD" w14:textId="77777777" w:rsidR="003272CD" w:rsidRDefault="003272CD" w:rsidP="003272CD">
      <w:pPr>
        <w:pStyle w:val="Heading1"/>
        <w:spacing w:line="240" w:lineRule="auto"/>
        <w:ind w:left="0"/>
      </w:pPr>
    </w:p>
    <w:p w14:paraId="419B80A9" w14:textId="77777777" w:rsidR="000A4E60" w:rsidRDefault="000A4E60" w:rsidP="003272CD">
      <w:pPr>
        <w:pStyle w:val="BodyText"/>
        <w:ind w:right="38" w:firstLine="426"/>
        <w:jc w:val="both"/>
        <w:rPr>
          <w:lang w:val="sv-SE"/>
        </w:rPr>
      </w:pPr>
      <w:proofErr w:type="spellStart"/>
      <w:r w:rsidRPr="000A4E60">
        <w:rPr>
          <w:lang w:val="en-ID"/>
        </w:rPr>
        <w:t>Penelitian</w:t>
      </w:r>
      <w:proofErr w:type="spellEnd"/>
      <w:r w:rsidRPr="000A4E60">
        <w:rPr>
          <w:lang w:val="en-ID"/>
        </w:rPr>
        <w:t xml:space="preserve"> </w:t>
      </w:r>
      <w:proofErr w:type="spellStart"/>
      <w:r w:rsidRPr="000A4E60">
        <w:rPr>
          <w:lang w:val="en-ID"/>
        </w:rPr>
        <w:t>ini</w:t>
      </w:r>
      <w:proofErr w:type="spellEnd"/>
      <w:r w:rsidRPr="000A4E60">
        <w:rPr>
          <w:lang w:val="en-ID"/>
        </w:rPr>
        <w:t xml:space="preserve"> </w:t>
      </w:r>
      <w:proofErr w:type="spellStart"/>
      <w:r w:rsidRPr="000A4E60">
        <w:rPr>
          <w:lang w:val="en-ID"/>
        </w:rPr>
        <w:t>merupakan</w:t>
      </w:r>
      <w:proofErr w:type="spellEnd"/>
      <w:r w:rsidRPr="000A4E60">
        <w:rPr>
          <w:lang w:val="en-ID"/>
        </w:rPr>
        <w:t xml:space="preserve"> </w:t>
      </w:r>
      <w:proofErr w:type="spellStart"/>
      <w:r w:rsidRPr="000A4E60">
        <w:rPr>
          <w:lang w:val="en-ID"/>
        </w:rPr>
        <w:t>penelitian</w:t>
      </w:r>
      <w:proofErr w:type="spellEnd"/>
      <w:r w:rsidRPr="000A4E60">
        <w:rPr>
          <w:lang w:val="en-ID"/>
        </w:rPr>
        <w:t xml:space="preserve"> </w:t>
      </w:r>
      <w:proofErr w:type="spellStart"/>
      <w:r w:rsidRPr="000A4E60">
        <w:rPr>
          <w:lang w:val="en-ID"/>
        </w:rPr>
        <w:t>kuantitatif</w:t>
      </w:r>
      <w:proofErr w:type="spellEnd"/>
      <w:r w:rsidRPr="000A4E60">
        <w:rPr>
          <w:lang w:val="en-ID"/>
        </w:rPr>
        <w:t xml:space="preserve"> </w:t>
      </w:r>
      <w:proofErr w:type="spellStart"/>
      <w:r w:rsidRPr="000A4E60">
        <w:rPr>
          <w:lang w:val="en-ID"/>
        </w:rPr>
        <w:t>dengan</w:t>
      </w:r>
      <w:proofErr w:type="spellEnd"/>
      <w:r w:rsidRPr="000A4E60">
        <w:rPr>
          <w:lang w:val="en-ID"/>
        </w:rPr>
        <w:t xml:space="preserve"> </w:t>
      </w:r>
      <w:proofErr w:type="spellStart"/>
      <w:r w:rsidRPr="000A4E60">
        <w:rPr>
          <w:lang w:val="en-ID"/>
        </w:rPr>
        <w:t>desain</w:t>
      </w:r>
      <w:proofErr w:type="spellEnd"/>
      <w:r w:rsidRPr="000A4E60">
        <w:rPr>
          <w:lang w:val="en-ID"/>
        </w:rPr>
        <w:t xml:space="preserve"> </w:t>
      </w:r>
      <w:r w:rsidRPr="000A4E60">
        <w:rPr>
          <w:i/>
          <w:iCs/>
          <w:lang w:val="en-ID"/>
        </w:rPr>
        <w:t>quasi-experimental two-group pre–</w:t>
      </w:r>
      <w:proofErr w:type="spellStart"/>
      <w:r w:rsidRPr="000A4E60">
        <w:rPr>
          <w:i/>
          <w:iCs/>
          <w:lang w:val="en-ID"/>
        </w:rPr>
        <w:t>post test</w:t>
      </w:r>
      <w:proofErr w:type="spellEnd"/>
      <w:r w:rsidRPr="000A4E60">
        <w:rPr>
          <w:i/>
          <w:iCs/>
          <w:lang w:val="en-ID"/>
        </w:rPr>
        <w:t xml:space="preserve"> design</w:t>
      </w:r>
      <w:r w:rsidRPr="000A4E60">
        <w:rPr>
          <w:lang w:val="en-ID"/>
        </w:rPr>
        <w:t xml:space="preserve"> </w:t>
      </w:r>
      <w:proofErr w:type="spellStart"/>
      <w:r w:rsidRPr="000A4E60">
        <w:rPr>
          <w:lang w:val="en-ID"/>
        </w:rPr>
        <w:t>menggunakan</w:t>
      </w:r>
      <w:proofErr w:type="spellEnd"/>
      <w:r w:rsidRPr="000A4E60">
        <w:rPr>
          <w:lang w:val="en-ID"/>
        </w:rPr>
        <w:t xml:space="preserve"> </w:t>
      </w:r>
      <w:proofErr w:type="spellStart"/>
      <w:r w:rsidRPr="000A4E60">
        <w:rPr>
          <w:lang w:val="en-ID"/>
        </w:rPr>
        <w:t>dua</w:t>
      </w:r>
      <w:proofErr w:type="spellEnd"/>
      <w:r w:rsidRPr="000A4E60">
        <w:rPr>
          <w:lang w:val="en-ID"/>
        </w:rPr>
        <w:t xml:space="preserve"> </w:t>
      </w:r>
      <w:proofErr w:type="spellStart"/>
      <w:r w:rsidRPr="000A4E60">
        <w:rPr>
          <w:lang w:val="en-ID"/>
        </w:rPr>
        <w:t>kelompok</w:t>
      </w:r>
      <w:proofErr w:type="spellEnd"/>
      <w:r w:rsidRPr="000A4E60">
        <w:rPr>
          <w:lang w:val="en-ID"/>
        </w:rPr>
        <w:t xml:space="preserve"> </w:t>
      </w:r>
      <w:proofErr w:type="spellStart"/>
      <w:r w:rsidRPr="000A4E60">
        <w:rPr>
          <w:lang w:val="en-ID"/>
        </w:rPr>
        <w:t>perlakuan</w:t>
      </w:r>
      <w:proofErr w:type="spellEnd"/>
      <w:r w:rsidRPr="000A4E60">
        <w:rPr>
          <w:lang w:val="en-ID"/>
        </w:rPr>
        <w:t xml:space="preserve"> </w:t>
      </w:r>
      <w:proofErr w:type="spellStart"/>
      <w:r w:rsidRPr="000A4E60">
        <w:rPr>
          <w:lang w:val="en-ID"/>
        </w:rPr>
        <w:t>tanpa</w:t>
      </w:r>
      <w:proofErr w:type="spellEnd"/>
      <w:r w:rsidRPr="000A4E60">
        <w:rPr>
          <w:lang w:val="en-ID"/>
        </w:rPr>
        <w:t xml:space="preserve"> </w:t>
      </w:r>
      <w:proofErr w:type="spellStart"/>
      <w:r w:rsidRPr="000A4E60">
        <w:rPr>
          <w:lang w:val="en-ID"/>
        </w:rPr>
        <w:t>kelompok</w:t>
      </w:r>
      <w:proofErr w:type="spellEnd"/>
      <w:r w:rsidRPr="000A4E60">
        <w:rPr>
          <w:lang w:val="en-ID"/>
        </w:rPr>
        <w:t xml:space="preserve"> </w:t>
      </w:r>
      <w:proofErr w:type="spellStart"/>
      <w:r w:rsidRPr="000A4E60">
        <w:rPr>
          <w:lang w:val="en-ID"/>
        </w:rPr>
        <w:t>kontrol</w:t>
      </w:r>
      <w:proofErr w:type="spellEnd"/>
      <w:r w:rsidRPr="000A4E60">
        <w:rPr>
          <w:lang w:val="en-ID"/>
        </w:rPr>
        <w:t xml:space="preserve"> </w:t>
      </w:r>
      <w:proofErr w:type="spellStart"/>
      <w:r w:rsidRPr="000A4E60">
        <w:rPr>
          <w:lang w:val="en-ID"/>
        </w:rPr>
        <w:t>sejati</w:t>
      </w:r>
      <w:proofErr w:type="spellEnd"/>
      <w:r w:rsidRPr="000A4E60">
        <w:rPr>
          <w:lang w:val="en-ID"/>
        </w:rPr>
        <w:t xml:space="preserve"> (</w:t>
      </w:r>
      <w:r w:rsidRPr="000A4E60">
        <w:rPr>
          <w:i/>
          <w:iCs/>
          <w:lang w:val="en-ID"/>
        </w:rPr>
        <w:t>non-equivalent comparison groups</w:t>
      </w:r>
      <w:r w:rsidRPr="000A4E60">
        <w:rPr>
          <w:lang w:val="en-ID"/>
        </w:rPr>
        <w:t xml:space="preserve">). </w:t>
      </w:r>
      <w:r w:rsidRPr="000A4E60">
        <w:rPr>
          <w:lang w:val="sv-SE"/>
        </w:rPr>
        <w:t xml:space="preserve">Desain ini dipilih untuk membandingkan efektivitas dua intervensi nonfarmakologis, yaitu senam kaki dan akupresur, terhadap penurunan kadar gula darah pada lansia </w:t>
      </w:r>
      <w:r w:rsidRPr="000A4E60">
        <w:rPr>
          <w:lang w:val="sv-SE"/>
        </w:rPr>
        <w:lastRenderedPageBreak/>
        <w:t>dengan Diabetes Mellitus (DM) tipe 2. Penelitian dilaksanakan di Panti Rehabilitasi Sosial Lanjut Usia (PRSLU) Karawang pada bulan Mei hingga Juli 2025.</w:t>
      </w:r>
    </w:p>
    <w:p w14:paraId="0E915036" w14:textId="77777777" w:rsidR="000A4E60" w:rsidRPr="003272CD" w:rsidRDefault="000A4E60" w:rsidP="003272CD">
      <w:pPr>
        <w:pStyle w:val="BodyText"/>
        <w:ind w:right="38" w:firstLine="426"/>
        <w:jc w:val="both"/>
        <w:rPr>
          <w:lang w:val="sv-SE"/>
        </w:rPr>
      </w:pPr>
      <w:r w:rsidRPr="003272CD">
        <w:rPr>
          <w:lang w:val="sv-SE"/>
        </w:rPr>
        <w:t>Populasi dalam penelitian ini adalah seluruh lansia yang tinggal di PRSLU Karawang dan didiagnosis menderita Diabetes Mellitus. Sampel penelitian sebanyak 32 responden, yang dibagi ke dalam dua kelompok perlakuan, masing-masing terdiri dari 16 responden pada kelompok senam kaki dan 16 responden pada kelompok akupresur.</w:t>
      </w:r>
    </w:p>
    <w:p w14:paraId="3AF8DC38" w14:textId="77777777" w:rsidR="000A4E60" w:rsidRDefault="000A4E60" w:rsidP="003272CD">
      <w:pPr>
        <w:pStyle w:val="BodyText"/>
        <w:ind w:right="38" w:firstLine="426"/>
        <w:jc w:val="both"/>
        <w:rPr>
          <w:lang w:val="sv-SE"/>
        </w:rPr>
      </w:pPr>
      <w:r w:rsidRPr="000A4E60">
        <w:rPr>
          <w:lang w:val="sv-SE"/>
        </w:rPr>
        <w:t xml:space="preserve">Teknik pengambilan sampel menggunakan </w:t>
      </w:r>
      <w:r w:rsidRPr="000A4E60">
        <w:rPr>
          <w:i/>
          <w:iCs/>
          <w:lang w:val="sv-SE"/>
        </w:rPr>
        <w:t>purposive sampling</w:t>
      </w:r>
      <w:r w:rsidRPr="000A4E60">
        <w:rPr>
          <w:lang w:val="sv-SE"/>
        </w:rPr>
        <w:t xml:space="preserve"> berdasarkan kriteria inklusi dan eksklusi. Kriteria inklusi meliputi: (1) lansia berusia ≥60 tahun, (2) terdiagnosis Diabetes Mellitus tipe 2, (3) kondisi klinis stabil, (4) mampu menggerakkan ekstremitas bawah, (5) tidak mengalami gangguan mobilitas berat, dan (6) bersedia menjadi responden penelitian. Kriteria eksklusi meliputi: (1) penggunaan insulin intensif, (2) adanya komplikasi berat seperti ulkus diabetikum atau neuropati perifer berat, (3) komorbid berat yang membatasi aktivitas fisik, serta (4) ketidakpatuhan mengikuti seluruh rangkaian intervensi.</w:t>
      </w:r>
    </w:p>
    <w:p w14:paraId="2920C863" w14:textId="77777777" w:rsidR="000A4E60" w:rsidRDefault="000A4E60" w:rsidP="003272CD">
      <w:pPr>
        <w:pStyle w:val="BodyText"/>
        <w:ind w:right="38" w:firstLine="426"/>
        <w:jc w:val="both"/>
        <w:rPr>
          <w:lang w:val="sv-SE"/>
        </w:rPr>
      </w:pPr>
      <w:r w:rsidRPr="000A4E60">
        <w:rPr>
          <w:lang w:val="sv-SE"/>
        </w:rPr>
        <w:t xml:space="preserve">Jumlah sampel ditentukan berdasarkan pertimbangan keterjangkauan populasi dan ukuran sampel minimal pada desain </w:t>
      </w:r>
      <w:r w:rsidRPr="000A4E60">
        <w:rPr>
          <w:i/>
          <w:iCs/>
          <w:lang w:val="sv-SE"/>
        </w:rPr>
        <w:t>quasi-experimental</w:t>
      </w:r>
      <w:r w:rsidRPr="000A4E60">
        <w:rPr>
          <w:lang w:val="sv-SE"/>
        </w:rPr>
        <w:t>, dengan asumsi efek intervensi sedang dan keterbatasan populasi di lokasi penelitian.</w:t>
      </w:r>
    </w:p>
    <w:p w14:paraId="0DD8606E" w14:textId="0A3C653A" w:rsidR="000A4E60" w:rsidRDefault="000A4E60" w:rsidP="003272CD">
      <w:pPr>
        <w:pStyle w:val="BodyText"/>
        <w:ind w:right="38" w:firstLine="426"/>
        <w:jc w:val="both"/>
        <w:rPr>
          <w:lang w:val="sv-SE"/>
        </w:rPr>
      </w:pPr>
      <w:r w:rsidRPr="000A4E60">
        <w:rPr>
          <w:lang w:val="sv-SE"/>
        </w:rPr>
        <w:t xml:space="preserve">Kelompok senam kaki diberikan intervensi berupa senam kaki diabetes dengan </w:t>
      </w:r>
      <w:r w:rsidRPr="00E549AC">
        <w:rPr>
          <w:lang w:val="sv-SE"/>
        </w:rPr>
        <w:t xml:space="preserve">durasi </w:t>
      </w:r>
      <w:r w:rsidR="00D30E95" w:rsidRPr="00E549AC">
        <w:rPr>
          <w:lang w:val="sv-SE"/>
        </w:rPr>
        <w:t>20</w:t>
      </w:r>
      <w:r w:rsidRPr="00E549AC">
        <w:rPr>
          <w:lang w:val="sv-SE"/>
        </w:rPr>
        <w:t xml:space="preserve"> menit per sesi, dilakukan </w:t>
      </w:r>
      <w:r w:rsidR="00D30E95" w:rsidRPr="00E549AC">
        <w:rPr>
          <w:lang w:val="sv-SE"/>
        </w:rPr>
        <w:t>3</w:t>
      </w:r>
      <w:r w:rsidRPr="00E549AC">
        <w:rPr>
          <w:lang w:val="sv-SE"/>
        </w:rPr>
        <w:t xml:space="preserve"> kali per minggu selama </w:t>
      </w:r>
      <w:r w:rsidR="00E549AC" w:rsidRPr="00E549AC">
        <w:rPr>
          <w:lang w:val="sv-SE"/>
        </w:rPr>
        <w:t>3</w:t>
      </w:r>
      <w:r w:rsidRPr="00E549AC">
        <w:rPr>
          <w:lang w:val="sv-SE"/>
        </w:rPr>
        <w:t xml:space="preserve"> minggu</w:t>
      </w:r>
      <w:r w:rsidRPr="000A4E60">
        <w:rPr>
          <w:lang w:val="sv-SE"/>
        </w:rPr>
        <w:t>, sesuai dengan panduan senam kaki diabetes. Senam dilakukan secara terstruktur dan dipandu oleh peneliti.</w:t>
      </w:r>
    </w:p>
    <w:p w14:paraId="343D06D5" w14:textId="63D4F95B" w:rsidR="000A4E60" w:rsidRDefault="000A4E60" w:rsidP="003272CD">
      <w:pPr>
        <w:pStyle w:val="BodyText"/>
        <w:ind w:right="38" w:firstLine="426"/>
        <w:jc w:val="both"/>
        <w:rPr>
          <w:lang w:val="sv-SE"/>
        </w:rPr>
      </w:pPr>
      <w:r w:rsidRPr="000A4E60">
        <w:rPr>
          <w:lang w:val="sv-SE"/>
        </w:rPr>
        <w:t xml:space="preserve">Kelompok akupresur diberikan intervensi </w:t>
      </w:r>
      <w:r w:rsidRPr="000A4E60">
        <w:rPr>
          <w:lang w:val="sv-SE"/>
        </w:rPr>
        <w:lastRenderedPageBreak/>
        <w:t xml:space="preserve">akupresur pada titik-titik meridian yang berhubungan dengan regulasi metabolisme glukosa, dengan durasi </w:t>
      </w:r>
      <w:r w:rsidR="009C5C4E" w:rsidRPr="009C5C4E">
        <w:rPr>
          <w:lang w:val="sv-SE"/>
        </w:rPr>
        <w:t>15</w:t>
      </w:r>
      <w:r w:rsidRPr="009C5C4E">
        <w:rPr>
          <w:lang w:val="sv-SE"/>
        </w:rPr>
        <w:t xml:space="preserve"> menit per sesi, dilakukan </w:t>
      </w:r>
      <w:r w:rsidR="009C5C4E" w:rsidRPr="009C5C4E">
        <w:rPr>
          <w:lang w:val="sv-SE"/>
        </w:rPr>
        <w:t>3</w:t>
      </w:r>
      <w:r w:rsidRPr="009C5C4E">
        <w:rPr>
          <w:lang w:val="sv-SE"/>
        </w:rPr>
        <w:t xml:space="preserve"> kali per minggu selama </w:t>
      </w:r>
      <w:r w:rsidR="009C5C4E" w:rsidRPr="009C5C4E">
        <w:rPr>
          <w:lang w:val="sv-SE"/>
        </w:rPr>
        <w:t xml:space="preserve">3 </w:t>
      </w:r>
      <w:r w:rsidRPr="009C5C4E">
        <w:rPr>
          <w:lang w:val="sv-SE"/>
        </w:rPr>
        <w:t>minggu</w:t>
      </w:r>
      <w:r w:rsidRPr="000A4E60">
        <w:rPr>
          <w:lang w:val="sv-SE"/>
        </w:rPr>
        <w:t>. Akupresur dilakukan oleh peneliti yang telah mendapatkan pelatihan dasar akupresur, menggunakan teknik penekanan standar untuk menjaga konsistensi prosedur.</w:t>
      </w:r>
    </w:p>
    <w:p w14:paraId="0EB9F42B" w14:textId="546B80BE" w:rsidR="000A4E60" w:rsidRDefault="000A4E60" w:rsidP="003272CD">
      <w:pPr>
        <w:pStyle w:val="BodyText"/>
        <w:ind w:right="38" w:firstLine="426"/>
        <w:jc w:val="both"/>
        <w:rPr>
          <w:lang w:val="sv-SE"/>
        </w:rPr>
      </w:pPr>
      <w:r w:rsidRPr="000A4E60">
        <w:rPr>
          <w:lang w:val="sv-SE"/>
        </w:rPr>
        <w:t xml:space="preserve">Pengukuran kadar gula darah dilakukan menggunakan pemeriksaan </w:t>
      </w:r>
      <w:r w:rsidR="009C5C4E" w:rsidRPr="009C5C4E">
        <w:rPr>
          <w:lang w:val="sv-SE"/>
        </w:rPr>
        <w:t>Gula darah Sewaktu (GDS)</w:t>
      </w:r>
      <w:r w:rsidRPr="000A4E60">
        <w:rPr>
          <w:lang w:val="sv-SE"/>
        </w:rPr>
        <w:t xml:space="preserve"> dengan alat glukometer yang telah dikalibrasi. Pengukuran dilakukan sebelum intervensi (pre-test) dan setelah seluruh rangkaian intervensi selesai (post-test). Untuk mengurangi faktor perancu, pengukuran dilakukan pada waktu yang relatif sama dan responden diinstruksikan untuk mempertahankan pola makan, aktivitas fisik, dan konsumsi obat selama periode penelitian.</w:t>
      </w:r>
    </w:p>
    <w:p w14:paraId="37B10060" w14:textId="0E708C10" w:rsidR="000A4E60" w:rsidRPr="000A4E60" w:rsidRDefault="000A4E60" w:rsidP="003272CD">
      <w:pPr>
        <w:pStyle w:val="BodyText"/>
        <w:ind w:right="38" w:firstLine="426"/>
        <w:jc w:val="both"/>
        <w:rPr>
          <w:lang w:val="sv-SE"/>
        </w:rPr>
      </w:pPr>
      <w:r w:rsidRPr="000A4E60">
        <w:rPr>
          <w:lang w:val="sv-SE"/>
        </w:rPr>
        <w:t xml:space="preserve">Uji normalitas menunjukkan distribusi data tidak normal serta ukuran sampel relatif kecil, sehingga digunakan uji statistik nonparametrik. Uji Wilcoxon digunakan untuk menganalisis perbedaan kadar gula darah sebelum dan sesudah intervensi pada masing-masing kelompok. Selanjutnya, uji Mann–Whitney U digunakan untuk membandingkan perbedaan penurunan kadar gula darah antara kelompok senam kaki dan kelompok akupresur. </w:t>
      </w:r>
      <w:r w:rsidRPr="000A4E60">
        <w:rPr>
          <w:lang w:val="en-ID"/>
        </w:rPr>
        <w:t xml:space="preserve">Tingkat </w:t>
      </w:r>
      <w:proofErr w:type="spellStart"/>
      <w:r w:rsidRPr="000A4E60">
        <w:rPr>
          <w:lang w:val="en-ID"/>
        </w:rPr>
        <w:t>signifikansi</w:t>
      </w:r>
      <w:proofErr w:type="spellEnd"/>
      <w:r w:rsidRPr="000A4E60">
        <w:rPr>
          <w:lang w:val="en-ID"/>
        </w:rPr>
        <w:t xml:space="preserve"> </w:t>
      </w:r>
      <w:proofErr w:type="spellStart"/>
      <w:r w:rsidRPr="000A4E60">
        <w:rPr>
          <w:lang w:val="en-ID"/>
        </w:rPr>
        <w:t>ditetapkan</w:t>
      </w:r>
      <w:proofErr w:type="spellEnd"/>
      <w:r w:rsidRPr="000A4E60">
        <w:rPr>
          <w:lang w:val="en-ID"/>
        </w:rPr>
        <w:t xml:space="preserve"> </w:t>
      </w:r>
      <w:proofErr w:type="spellStart"/>
      <w:r w:rsidRPr="000A4E60">
        <w:rPr>
          <w:lang w:val="en-ID"/>
        </w:rPr>
        <w:t>pada</w:t>
      </w:r>
      <w:proofErr w:type="spellEnd"/>
      <w:r w:rsidRPr="000A4E60">
        <w:rPr>
          <w:lang w:val="en-ID"/>
        </w:rPr>
        <w:t xml:space="preserve"> α = 0,05</w:t>
      </w:r>
    </w:p>
    <w:p w14:paraId="5EA54D42" w14:textId="125B2F73" w:rsidR="00D44C37" w:rsidRDefault="00D44C37" w:rsidP="003272CD">
      <w:pPr>
        <w:pStyle w:val="BodyText"/>
        <w:ind w:left="372" w:right="38" w:firstLine="566"/>
        <w:jc w:val="both"/>
      </w:pPr>
    </w:p>
    <w:p w14:paraId="242FA746" w14:textId="0D955F00" w:rsidR="00D44C37" w:rsidRDefault="00E6267D" w:rsidP="003272CD">
      <w:pPr>
        <w:pStyle w:val="Heading1"/>
        <w:spacing w:line="240" w:lineRule="auto"/>
        <w:ind w:left="0"/>
        <w:rPr>
          <w:spacing w:val="-2"/>
        </w:rPr>
      </w:pPr>
      <w:r>
        <w:rPr>
          <w:spacing w:val="-2"/>
        </w:rPr>
        <w:t>HASIL</w:t>
      </w:r>
      <w:r w:rsidR="00DE481C">
        <w:rPr>
          <w:spacing w:val="-2"/>
        </w:rPr>
        <w:t xml:space="preserve"> DAN </w:t>
      </w:r>
      <w:r w:rsidR="00DE481C" w:rsidRPr="00DE481C">
        <w:rPr>
          <w:spacing w:val="-2"/>
        </w:rPr>
        <w:t>PEMBAHASAN</w:t>
      </w:r>
    </w:p>
    <w:p w14:paraId="0E6AC779" w14:textId="77777777" w:rsidR="003272CD" w:rsidRDefault="003272CD" w:rsidP="003272CD">
      <w:pPr>
        <w:pStyle w:val="Heading1"/>
        <w:spacing w:line="240" w:lineRule="auto"/>
        <w:ind w:left="0"/>
      </w:pPr>
    </w:p>
    <w:p w14:paraId="3C161FAD" w14:textId="77777777" w:rsidR="00977676" w:rsidRDefault="00E6267D" w:rsidP="003272CD">
      <w:pPr>
        <w:pStyle w:val="Heading2"/>
        <w:ind w:left="0"/>
        <w:rPr>
          <w:spacing w:val="-2"/>
        </w:rPr>
      </w:pPr>
      <w:r>
        <w:t>Uji</w:t>
      </w:r>
      <w:r>
        <w:rPr>
          <w:spacing w:val="-6"/>
        </w:rPr>
        <w:t xml:space="preserve"> </w:t>
      </w:r>
      <w:r>
        <w:rPr>
          <w:spacing w:val="-2"/>
        </w:rPr>
        <w:t>Normalitas</w:t>
      </w:r>
    </w:p>
    <w:p w14:paraId="46F847C3" w14:textId="77777777" w:rsidR="00910E2E" w:rsidRDefault="00977676" w:rsidP="003272CD">
      <w:pPr>
        <w:pStyle w:val="Heading2"/>
        <w:ind w:left="0"/>
        <w:jc w:val="both"/>
        <w:rPr>
          <w:b w:val="0"/>
          <w:bCs w:val="0"/>
          <w:spacing w:val="-2"/>
          <w:lang w:val="sv-SE"/>
        </w:rPr>
      </w:pPr>
      <w:r w:rsidRPr="00977676">
        <w:rPr>
          <w:b w:val="0"/>
          <w:bCs w:val="0"/>
          <w:spacing w:val="-2"/>
          <w:lang w:val="sv-SE"/>
        </w:rPr>
        <w:t>Uji normalitas dilakukan menggunakan Shapiro–Wilk test karena ukuran sampel relatif kecil (n &lt; 50). Hasil uji normalitas kadar gula darah pada kedua kelompok disajikan pada Tabel 1.</w:t>
      </w:r>
    </w:p>
    <w:p w14:paraId="64151AF2" w14:textId="77777777" w:rsidR="003272CD" w:rsidRDefault="003272CD" w:rsidP="00E32D59">
      <w:pPr>
        <w:pStyle w:val="Heading2"/>
        <w:ind w:left="0"/>
        <w:jc w:val="both"/>
        <w:rPr>
          <w:b w:val="0"/>
          <w:bCs w:val="0"/>
          <w:spacing w:val="-2"/>
          <w:lang w:val="sv-SE"/>
        </w:rPr>
        <w:sectPr w:rsidR="003272CD" w:rsidSect="00DE481C">
          <w:headerReference w:type="default" r:id="rId14"/>
          <w:footerReference w:type="default" r:id="rId15"/>
          <w:pgSz w:w="11910" w:h="18720"/>
          <w:pgMar w:top="1260" w:right="992" w:bottom="1220" w:left="708" w:header="896" w:footer="1031" w:gutter="0"/>
          <w:pgNumType w:start="1749"/>
          <w:cols w:num="2" w:space="720"/>
        </w:sectPr>
      </w:pPr>
    </w:p>
    <w:p w14:paraId="6C8BF2ED" w14:textId="77777777" w:rsidR="00E32D59" w:rsidRDefault="00E32D59" w:rsidP="00E32D59">
      <w:pPr>
        <w:pStyle w:val="Heading2"/>
        <w:ind w:left="0"/>
        <w:jc w:val="both"/>
        <w:rPr>
          <w:b w:val="0"/>
          <w:bCs w:val="0"/>
          <w:spacing w:val="-2"/>
          <w:lang w:val="sv-SE"/>
        </w:rPr>
      </w:pPr>
    </w:p>
    <w:p w14:paraId="05941198" w14:textId="4D516764" w:rsidR="00977676" w:rsidRPr="00E32D59" w:rsidRDefault="00977676" w:rsidP="00E32D59">
      <w:pPr>
        <w:pStyle w:val="Heading2"/>
        <w:ind w:left="0"/>
        <w:jc w:val="center"/>
        <w:rPr>
          <w:b w:val="0"/>
          <w:bCs w:val="0"/>
          <w:spacing w:val="-2"/>
          <w:sz w:val="20"/>
          <w:szCs w:val="20"/>
          <w:lang w:val="sv-SE"/>
        </w:rPr>
      </w:pPr>
      <w:r w:rsidRPr="00E32D59">
        <w:rPr>
          <w:spacing w:val="-2"/>
          <w:sz w:val="20"/>
          <w:szCs w:val="20"/>
          <w:lang w:val="sv-SE"/>
        </w:rPr>
        <w:t>Tabel 1. Hasil Uji Normalitas Kadar Gula Darah</w:t>
      </w:r>
    </w:p>
    <w:tbl>
      <w:tblPr>
        <w:tblStyle w:val="TableGrid"/>
        <w:tblW w:w="4555" w:type="dxa"/>
        <w:tblInd w:w="2803" w:type="dxa"/>
        <w:tblBorders>
          <w:left w:val="none" w:sz="0" w:space="0" w:color="auto"/>
          <w:right w:val="none" w:sz="0" w:space="0" w:color="auto"/>
          <w:insideV w:val="none" w:sz="0" w:space="0" w:color="auto"/>
        </w:tblBorders>
        <w:tblLook w:val="04A0" w:firstRow="1" w:lastRow="0" w:firstColumn="1" w:lastColumn="0" w:noHBand="0" w:noVBand="1"/>
      </w:tblPr>
      <w:tblGrid>
        <w:gridCol w:w="2317"/>
        <w:gridCol w:w="2238"/>
      </w:tblGrid>
      <w:tr w:rsidR="00977676" w:rsidRPr="00E32D59" w14:paraId="2C44161A" w14:textId="77777777" w:rsidTr="00E32D59">
        <w:tc>
          <w:tcPr>
            <w:tcW w:w="2317" w:type="dxa"/>
            <w:hideMark/>
          </w:tcPr>
          <w:p w14:paraId="0275D40C" w14:textId="77777777" w:rsidR="00977676" w:rsidRPr="00E32D59" w:rsidRDefault="00977676" w:rsidP="00977676">
            <w:pPr>
              <w:pStyle w:val="Heading2"/>
              <w:ind w:left="374"/>
              <w:rPr>
                <w:spacing w:val="-2"/>
                <w:sz w:val="20"/>
                <w:szCs w:val="20"/>
                <w:lang w:val="en-ID"/>
              </w:rPr>
            </w:pPr>
            <w:proofErr w:type="spellStart"/>
            <w:r w:rsidRPr="00E32D59">
              <w:rPr>
                <w:spacing w:val="-2"/>
                <w:sz w:val="20"/>
                <w:szCs w:val="20"/>
                <w:lang w:val="en-ID"/>
              </w:rPr>
              <w:t>Variabel</w:t>
            </w:r>
            <w:proofErr w:type="spellEnd"/>
          </w:p>
        </w:tc>
        <w:tc>
          <w:tcPr>
            <w:tcW w:w="2238" w:type="dxa"/>
            <w:hideMark/>
          </w:tcPr>
          <w:p w14:paraId="7D54761C" w14:textId="77777777" w:rsidR="00977676" w:rsidRPr="00E32D59" w:rsidRDefault="00977676" w:rsidP="00977676">
            <w:pPr>
              <w:pStyle w:val="Heading2"/>
              <w:ind w:left="374"/>
              <w:rPr>
                <w:spacing w:val="-2"/>
                <w:sz w:val="20"/>
                <w:szCs w:val="20"/>
                <w:lang w:val="en-ID"/>
              </w:rPr>
            </w:pPr>
            <w:r w:rsidRPr="00E32D59">
              <w:rPr>
                <w:spacing w:val="-2"/>
                <w:sz w:val="20"/>
                <w:szCs w:val="20"/>
                <w:lang w:val="en-ID"/>
              </w:rPr>
              <w:t>p-value</w:t>
            </w:r>
          </w:p>
        </w:tc>
      </w:tr>
      <w:tr w:rsidR="00977676" w:rsidRPr="00E32D59" w14:paraId="05D12E87" w14:textId="77777777" w:rsidTr="00E32D59">
        <w:tc>
          <w:tcPr>
            <w:tcW w:w="2317" w:type="dxa"/>
            <w:hideMark/>
          </w:tcPr>
          <w:p w14:paraId="4B10A5C2"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Pre Senam Kaki</w:t>
            </w:r>
          </w:p>
        </w:tc>
        <w:tc>
          <w:tcPr>
            <w:tcW w:w="2238" w:type="dxa"/>
            <w:hideMark/>
          </w:tcPr>
          <w:p w14:paraId="58B3D3CC"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0,030*</w:t>
            </w:r>
          </w:p>
        </w:tc>
      </w:tr>
      <w:tr w:rsidR="00977676" w:rsidRPr="00E32D59" w14:paraId="0A0CBCF8" w14:textId="77777777" w:rsidTr="00E32D59">
        <w:tc>
          <w:tcPr>
            <w:tcW w:w="2317" w:type="dxa"/>
            <w:hideMark/>
          </w:tcPr>
          <w:p w14:paraId="44F2965B"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Post Senam Kaki</w:t>
            </w:r>
          </w:p>
        </w:tc>
        <w:tc>
          <w:tcPr>
            <w:tcW w:w="2238" w:type="dxa"/>
            <w:hideMark/>
          </w:tcPr>
          <w:p w14:paraId="297F0C6F"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0,266</w:t>
            </w:r>
          </w:p>
        </w:tc>
      </w:tr>
      <w:tr w:rsidR="00977676" w:rsidRPr="00E32D59" w14:paraId="06B68AD2" w14:textId="77777777" w:rsidTr="00E32D59">
        <w:tc>
          <w:tcPr>
            <w:tcW w:w="2317" w:type="dxa"/>
            <w:hideMark/>
          </w:tcPr>
          <w:p w14:paraId="25BA23E0"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 xml:space="preserve">Pre </w:t>
            </w:r>
            <w:proofErr w:type="spellStart"/>
            <w:r w:rsidRPr="00E32D59">
              <w:rPr>
                <w:b w:val="0"/>
                <w:bCs w:val="0"/>
                <w:spacing w:val="-2"/>
                <w:sz w:val="20"/>
                <w:szCs w:val="20"/>
                <w:lang w:val="en-ID"/>
              </w:rPr>
              <w:t>Akupresur</w:t>
            </w:r>
            <w:proofErr w:type="spellEnd"/>
          </w:p>
        </w:tc>
        <w:tc>
          <w:tcPr>
            <w:tcW w:w="2238" w:type="dxa"/>
            <w:hideMark/>
          </w:tcPr>
          <w:p w14:paraId="70FF2189"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0,548</w:t>
            </w:r>
          </w:p>
        </w:tc>
      </w:tr>
      <w:tr w:rsidR="00977676" w:rsidRPr="00E32D59" w14:paraId="4462362B" w14:textId="77777777" w:rsidTr="00E32D59">
        <w:tc>
          <w:tcPr>
            <w:tcW w:w="2317" w:type="dxa"/>
            <w:hideMark/>
          </w:tcPr>
          <w:p w14:paraId="23F84C1E"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 xml:space="preserve">Post </w:t>
            </w:r>
            <w:proofErr w:type="spellStart"/>
            <w:r w:rsidRPr="00E32D59">
              <w:rPr>
                <w:b w:val="0"/>
                <w:bCs w:val="0"/>
                <w:spacing w:val="-2"/>
                <w:sz w:val="20"/>
                <w:szCs w:val="20"/>
                <w:lang w:val="en-ID"/>
              </w:rPr>
              <w:t>Akupresur</w:t>
            </w:r>
            <w:proofErr w:type="spellEnd"/>
          </w:p>
        </w:tc>
        <w:tc>
          <w:tcPr>
            <w:tcW w:w="2238" w:type="dxa"/>
            <w:hideMark/>
          </w:tcPr>
          <w:p w14:paraId="078CECB9" w14:textId="77777777" w:rsidR="00977676" w:rsidRPr="00E32D59" w:rsidRDefault="00977676" w:rsidP="00977676">
            <w:pPr>
              <w:pStyle w:val="Heading2"/>
              <w:ind w:left="374"/>
              <w:rPr>
                <w:b w:val="0"/>
                <w:bCs w:val="0"/>
                <w:spacing w:val="-2"/>
                <w:sz w:val="20"/>
                <w:szCs w:val="20"/>
                <w:lang w:val="en-ID"/>
              </w:rPr>
            </w:pPr>
            <w:r w:rsidRPr="00E32D59">
              <w:rPr>
                <w:b w:val="0"/>
                <w:bCs w:val="0"/>
                <w:spacing w:val="-2"/>
                <w:sz w:val="20"/>
                <w:szCs w:val="20"/>
                <w:lang w:val="en-ID"/>
              </w:rPr>
              <w:t>0,665</w:t>
            </w:r>
          </w:p>
        </w:tc>
      </w:tr>
    </w:tbl>
    <w:p w14:paraId="4B1493B5" w14:textId="77777777" w:rsidR="005E1D2C" w:rsidRPr="005E1D2C" w:rsidRDefault="005E1D2C" w:rsidP="00E32D59">
      <w:pPr>
        <w:ind w:left="2160" w:firstLine="720"/>
        <w:rPr>
          <w:sz w:val="20"/>
          <w:szCs w:val="20"/>
          <w:lang w:val="en-ID"/>
        </w:rPr>
      </w:pPr>
      <w:r w:rsidRPr="005E1D2C">
        <w:rPr>
          <w:sz w:val="20"/>
          <w:szCs w:val="20"/>
          <w:lang w:val="en-ID"/>
        </w:rPr>
        <w:t>*</w:t>
      </w:r>
      <w:proofErr w:type="spellStart"/>
      <w:r w:rsidRPr="005E1D2C">
        <w:rPr>
          <w:sz w:val="20"/>
          <w:szCs w:val="20"/>
          <w:lang w:val="en-ID"/>
        </w:rPr>
        <w:t>Keterangan</w:t>
      </w:r>
      <w:proofErr w:type="spellEnd"/>
      <w:r w:rsidRPr="005E1D2C">
        <w:rPr>
          <w:sz w:val="20"/>
          <w:szCs w:val="20"/>
          <w:lang w:val="en-ID"/>
        </w:rPr>
        <w:t xml:space="preserve">: </w:t>
      </w:r>
      <w:r w:rsidRPr="005E1D2C">
        <w:rPr>
          <w:i/>
          <w:iCs/>
          <w:sz w:val="20"/>
          <w:szCs w:val="20"/>
          <w:lang w:val="en-ID"/>
        </w:rPr>
        <w:t xml:space="preserve">p &lt; 0,05 = </w:t>
      </w:r>
      <w:proofErr w:type="spellStart"/>
      <w:r w:rsidRPr="005E1D2C">
        <w:rPr>
          <w:i/>
          <w:iCs/>
          <w:sz w:val="20"/>
          <w:szCs w:val="20"/>
          <w:lang w:val="en-ID"/>
        </w:rPr>
        <w:t>tidak</w:t>
      </w:r>
      <w:proofErr w:type="spellEnd"/>
      <w:r w:rsidRPr="005E1D2C">
        <w:rPr>
          <w:i/>
          <w:iCs/>
          <w:sz w:val="20"/>
          <w:szCs w:val="20"/>
          <w:lang w:val="en-ID"/>
        </w:rPr>
        <w:t xml:space="preserve"> </w:t>
      </w:r>
      <w:proofErr w:type="spellStart"/>
      <w:r w:rsidRPr="005E1D2C">
        <w:rPr>
          <w:i/>
          <w:iCs/>
          <w:sz w:val="20"/>
          <w:szCs w:val="20"/>
          <w:lang w:val="en-ID"/>
        </w:rPr>
        <w:t>berdistribusi</w:t>
      </w:r>
      <w:proofErr w:type="spellEnd"/>
      <w:r w:rsidRPr="005E1D2C">
        <w:rPr>
          <w:i/>
          <w:iCs/>
          <w:sz w:val="20"/>
          <w:szCs w:val="20"/>
          <w:lang w:val="en-ID"/>
        </w:rPr>
        <w:t xml:space="preserve"> normal</w:t>
      </w:r>
    </w:p>
    <w:p w14:paraId="1E0F4FAF" w14:textId="77777777" w:rsidR="005E1D2C" w:rsidRDefault="005E1D2C" w:rsidP="005E1D2C">
      <w:pPr>
        <w:rPr>
          <w:lang w:val="sv-SE"/>
        </w:rPr>
      </w:pPr>
    </w:p>
    <w:p w14:paraId="18B7A0D7" w14:textId="77777777" w:rsidR="003272CD" w:rsidRDefault="003272CD" w:rsidP="005E1D2C">
      <w:pPr>
        <w:jc w:val="both"/>
        <w:rPr>
          <w:lang w:val="sv-SE"/>
        </w:rPr>
        <w:sectPr w:rsidR="003272CD" w:rsidSect="003272CD">
          <w:type w:val="continuous"/>
          <w:pgSz w:w="11910" w:h="18720"/>
          <w:pgMar w:top="1260" w:right="992" w:bottom="1220" w:left="708" w:header="896" w:footer="1031" w:gutter="0"/>
          <w:cols w:space="720"/>
        </w:sectPr>
      </w:pPr>
    </w:p>
    <w:p w14:paraId="62B11E67" w14:textId="77777777" w:rsidR="005E1D2C" w:rsidRDefault="005E1D2C" w:rsidP="005E1D2C">
      <w:pPr>
        <w:jc w:val="both"/>
        <w:rPr>
          <w:lang w:val="sv-SE"/>
        </w:rPr>
      </w:pPr>
      <w:r w:rsidRPr="005E1D2C">
        <w:rPr>
          <w:lang w:val="sv-SE"/>
        </w:rPr>
        <w:lastRenderedPageBreak/>
        <w:t xml:space="preserve">Hasil uji menunjukkan bahwa data Pre Senam Kaki tidak berdistribusi normal (p &lt; 0,05), sedangkan variabel lainnya berdistribusi normal. Mengingat terdapat data yang tidak berdistribusi normal serta ukuran sampel yang relatif kecil, maka seluruh analisis inferensial menggunakan uji statistik nonparametrik untuk menjaga konsistensi metodologis, yaitu uji Wilcoxon Signed Rank Test </w:t>
      </w:r>
      <w:r w:rsidRPr="005E1D2C">
        <w:rPr>
          <w:lang w:val="sv-SE"/>
        </w:rPr>
        <w:lastRenderedPageBreak/>
        <w:t>dan Mann–Whitney U Test.</w:t>
      </w:r>
    </w:p>
    <w:p w14:paraId="4436E539" w14:textId="77777777" w:rsidR="005E1D2C" w:rsidRDefault="005E1D2C" w:rsidP="005E1D2C">
      <w:pPr>
        <w:jc w:val="both"/>
        <w:rPr>
          <w:b/>
          <w:bCs/>
          <w:lang w:val="sv-SE"/>
        </w:rPr>
      </w:pPr>
    </w:p>
    <w:p w14:paraId="053045A7" w14:textId="27ECD868" w:rsidR="005E1D2C" w:rsidRDefault="005E1D2C" w:rsidP="005E1D2C">
      <w:pPr>
        <w:jc w:val="both"/>
        <w:rPr>
          <w:lang w:val="sv-SE"/>
        </w:rPr>
      </w:pPr>
      <w:r w:rsidRPr="005E1D2C">
        <w:rPr>
          <w:b/>
          <w:bCs/>
          <w:lang w:val="sv-SE"/>
        </w:rPr>
        <w:t xml:space="preserve">Analisis Univariat </w:t>
      </w:r>
    </w:p>
    <w:p w14:paraId="57A2134C" w14:textId="00E72266" w:rsidR="003272CD" w:rsidRDefault="005E1D2C" w:rsidP="005E1D2C">
      <w:pPr>
        <w:jc w:val="both"/>
        <w:rPr>
          <w:lang w:val="sv-SE"/>
        </w:rPr>
        <w:sectPr w:rsidR="003272CD" w:rsidSect="003272CD">
          <w:type w:val="continuous"/>
          <w:pgSz w:w="11910" w:h="18720"/>
          <w:pgMar w:top="1260" w:right="992" w:bottom="1220" w:left="708" w:header="896" w:footer="1031" w:gutter="0"/>
          <w:cols w:num="2" w:space="720"/>
        </w:sectPr>
      </w:pPr>
      <w:r w:rsidRPr="005E1D2C">
        <w:rPr>
          <w:lang w:val="sv-SE"/>
        </w:rPr>
        <w:t xml:space="preserve">Analisis univariat dilakukan untuk menggambarkan distribusi kadar gula darah sebelum dan sesudah intervensi pada masing-masing kelompok. Hasil analisis disajikan pada Tabel </w:t>
      </w:r>
      <w:r w:rsidR="003272CD">
        <w:rPr>
          <w:lang w:val="sv-SE"/>
        </w:rPr>
        <w:t>2.</w:t>
      </w:r>
    </w:p>
    <w:p w14:paraId="7D63D845" w14:textId="44100596" w:rsidR="00910E2E" w:rsidRDefault="005E1D2C" w:rsidP="005E1D2C">
      <w:pPr>
        <w:jc w:val="both"/>
        <w:rPr>
          <w:lang w:val="sv-SE"/>
        </w:rPr>
      </w:pPr>
      <w:r w:rsidRPr="005E1D2C">
        <w:rPr>
          <w:lang w:val="sv-SE"/>
        </w:rPr>
        <w:lastRenderedPageBreak/>
        <w:t>.</w:t>
      </w:r>
      <w:r>
        <w:rPr>
          <w:lang w:val="sv-SE"/>
        </w:rPr>
        <w:t xml:space="preserve"> </w:t>
      </w:r>
    </w:p>
    <w:p w14:paraId="05CA6AC3" w14:textId="77777777" w:rsidR="00910E2E" w:rsidRDefault="00910E2E" w:rsidP="005E1D2C">
      <w:pPr>
        <w:jc w:val="both"/>
        <w:rPr>
          <w:lang w:val="sv-SE"/>
        </w:rPr>
      </w:pPr>
    </w:p>
    <w:p w14:paraId="1923A05C" w14:textId="77777777" w:rsidR="00910E2E" w:rsidRDefault="00910E2E" w:rsidP="00910E2E">
      <w:pPr>
        <w:jc w:val="both"/>
        <w:rPr>
          <w:b/>
          <w:bCs/>
          <w:lang w:val="en-ID"/>
        </w:rPr>
      </w:pPr>
      <w:r w:rsidRPr="00910E2E">
        <w:rPr>
          <w:b/>
          <w:bCs/>
          <w:lang w:val="en-ID"/>
        </w:rPr>
        <w:t xml:space="preserve">Tabel 2. </w:t>
      </w:r>
      <w:proofErr w:type="spellStart"/>
      <w:r w:rsidRPr="00910E2E">
        <w:rPr>
          <w:b/>
          <w:bCs/>
          <w:lang w:val="en-ID"/>
        </w:rPr>
        <w:t>Distribusi</w:t>
      </w:r>
      <w:proofErr w:type="spellEnd"/>
      <w:r w:rsidRPr="00910E2E">
        <w:rPr>
          <w:b/>
          <w:bCs/>
          <w:lang w:val="en-ID"/>
        </w:rPr>
        <w:t xml:space="preserve"> Kadar </w:t>
      </w:r>
      <w:proofErr w:type="spellStart"/>
      <w:r w:rsidRPr="00910E2E">
        <w:rPr>
          <w:b/>
          <w:bCs/>
          <w:lang w:val="en-ID"/>
        </w:rPr>
        <w:t>Gula</w:t>
      </w:r>
      <w:proofErr w:type="spellEnd"/>
      <w:r w:rsidRPr="00910E2E">
        <w:rPr>
          <w:b/>
          <w:bCs/>
          <w:lang w:val="en-ID"/>
        </w:rPr>
        <w:t xml:space="preserve"> </w:t>
      </w:r>
      <w:proofErr w:type="spellStart"/>
      <w:r w:rsidRPr="00910E2E">
        <w:rPr>
          <w:b/>
          <w:bCs/>
          <w:lang w:val="en-ID"/>
        </w:rPr>
        <w:t>Darah</w:t>
      </w:r>
      <w:proofErr w:type="spellEnd"/>
      <w:r w:rsidRPr="00910E2E">
        <w:rPr>
          <w:b/>
          <w:bCs/>
          <w:lang w:val="en-ID"/>
        </w:rPr>
        <w:t xml:space="preserve"> Pre–Post </w:t>
      </w:r>
      <w:proofErr w:type="spellStart"/>
      <w:r w:rsidRPr="00910E2E">
        <w:rPr>
          <w:b/>
          <w:bCs/>
          <w:lang w:val="en-ID"/>
        </w:rPr>
        <w:t>pada</w:t>
      </w:r>
      <w:proofErr w:type="spellEnd"/>
      <w:r w:rsidRPr="00910E2E">
        <w:rPr>
          <w:b/>
          <w:bCs/>
          <w:lang w:val="en-ID"/>
        </w:rPr>
        <w:t xml:space="preserve"> </w:t>
      </w:r>
      <w:proofErr w:type="spellStart"/>
      <w:r w:rsidRPr="00910E2E">
        <w:rPr>
          <w:b/>
          <w:bCs/>
          <w:lang w:val="en-ID"/>
        </w:rPr>
        <w:t>Kedua</w:t>
      </w:r>
      <w:proofErr w:type="spellEnd"/>
      <w:r w:rsidRPr="00910E2E">
        <w:rPr>
          <w:b/>
          <w:bCs/>
          <w:lang w:val="en-ID"/>
        </w:rPr>
        <w:t xml:space="preserve"> </w:t>
      </w:r>
      <w:proofErr w:type="spellStart"/>
      <w:r w:rsidRPr="00910E2E">
        <w:rPr>
          <w:b/>
          <w:bCs/>
          <w:lang w:val="en-ID"/>
        </w:rPr>
        <w:t>Kelompok</w:t>
      </w:r>
      <w:proofErr w:type="spellEnd"/>
    </w:p>
    <w:tbl>
      <w:tblPr>
        <w:tblStyle w:val="TableGrid"/>
        <w:tblW w:w="10201" w:type="dxa"/>
        <w:tblBorders>
          <w:left w:val="none" w:sz="0" w:space="0" w:color="auto"/>
          <w:right w:val="none" w:sz="0" w:space="0" w:color="auto"/>
          <w:insideV w:val="none" w:sz="0" w:space="0" w:color="auto"/>
        </w:tblBorders>
        <w:tblLook w:val="04A0" w:firstRow="1" w:lastRow="0" w:firstColumn="1" w:lastColumn="0" w:noHBand="0" w:noVBand="1"/>
      </w:tblPr>
      <w:tblGrid>
        <w:gridCol w:w="1592"/>
        <w:gridCol w:w="1069"/>
        <w:gridCol w:w="552"/>
        <w:gridCol w:w="1422"/>
        <w:gridCol w:w="1584"/>
        <w:gridCol w:w="1930"/>
        <w:gridCol w:w="883"/>
        <w:gridCol w:w="1169"/>
      </w:tblGrid>
      <w:tr w:rsidR="00910E2E" w:rsidRPr="00910E2E" w14:paraId="05BAE1F6" w14:textId="77777777" w:rsidTr="00910E2E">
        <w:tc>
          <w:tcPr>
            <w:tcW w:w="0" w:type="auto"/>
            <w:hideMark/>
          </w:tcPr>
          <w:p w14:paraId="05B0CCA0" w14:textId="77777777" w:rsidR="00910E2E" w:rsidRPr="00910E2E" w:rsidRDefault="00910E2E" w:rsidP="00D65C98">
            <w:pPr>
              <w:jc w:val="both"/>
              <w:rPr>
                <w:b/>
                <w:bCs/>
                <w:sz w:val="20"/>
                <w:szCs w:val="20"/>
                <w:lang w:val="en-ID"/>
              </w:rPr>
            </w:pPr>
            <w:proofErr w:type="spellStart"/>
            <w:r w:rsidRPr="00910E2E">
              <w:rPr>
                <w:b/>
                <w:bCs/>
                <w:sz w:val="20"/>
                <w:szCs w:val="20"/>
                <w:lang w:val="en-ID"/>
              </w:rPr>
              <w:t>Kelompok</w:t>
            </w:r>
            <w:proofErr w:type="spellEnd"/>
          </w:p>
        </w:tc>
        <w:tc>
          <w:tcPr>
            <w:tcW w:w="0" w:type="auto"/>
            <w:hideMark/>
          </w:tcPr>
          <w:p w14:paraId="6AA6C0E8" w14:textId="77777777" w:rsidR="00910E2E" w:rsidRPr="00910E2E" w:rsidRDefault="00910E2E" w:rsidP="00D65C98">
            <w:pPr>
              <w:jc w:val="both"/>
              <w:rPr>
                <w:b/>
                <w:bCs/>
                <w:sz w:val="20"/>
                <w:szCs w:val="20"/>
                <w:lang w:val="en-ID"/>
              </w:rPr>
            </w:pPr>
            <w:r w:rsidRPr="00910E2E">
              <w:rPr>
                <w:b/>
                <w:bCs/>
                <w:sz w:val="20"/>
                <w:szCs w:val="20"/>
                <w:lang w:val="en-ID"/>
              </w:rPr>
              <w:t>Waktu</w:t>
            </w:r>
          </w:p>
        </w:tc>
        <w:tc>
          <w:tcPr>
            <w:tcW w:w="0" w:type="auto"/>
            <w:hideMark/>
          </w:tcPr>
          <w:p w14:paraId="1A43799F" w14:textId="77777777" w:rsidR="00910E2E" w:rsidRPr="00910E2E" w:rsidRDefault="00910E2E" w:rsidP="00D65C98">
            <w:pPr>
              <w:jc w:val="both"/>
              <w:rPr>
                <w:b/>
                <w:bCs/>
                <w:sz w:val="20"/>
                <w:szCs w:val="20"/>
                <w:lang w:val="en-ID"/>
              </w:rPr>
            </w:pPr>
            <w:r w:rsidRPr="00910E2E">
              <w:rPr>
                <w:b/>
                <w:bCs/>
                <w:sz w:val="20"/>
                <w:szCs w:val="20"/>
                <w:lang w:val="en-ID"/>
              </w:rPr>
              <w:t>N</w:t>
            </w:r>
          </w:p>
        </w:tc>
        <w:tc>
          <w:tcPr>
            <w:tcW w:w="0" w:type="auto"/>
            <w:hideMark/>
          </w:tcPr>
          <w:p w14:paraId="299D8D79" w14:textId="77777777" w:rsidR="00910E2E" w:rsidRPr="00910E2E" w:rsidRDefault="00910E2E" w:rsidP="00D65C98">
            <w:pPr>
              <w:jc w:val="both"/>
              <w:rPr>
                <w:b/>
                <w:bCs/>
                <w:sz w:val="20"/>
                <w:szCs w:val="20"/>
                <w:lang w:val="en-ID"/>
              </w:rPr>
            </w:pPr>
            <w:r w:rsidRPr="00910E2E">
              <w:rPr>
                <w:b/>
                <w:bCs/>
                <w:sz w:val="20"/>
                <w:szCs w:val="20"/>
                <w:lang w:val="en-ID"/>
              </w:rPr>
              <w:t>Minimum</w:t>
            </w:r>
          </w:p>
        </w:tc>
        <w:tc>
          <w:tcPr>
            <w:tcW w:w="0" w:type="auto"/>
            <w:hideMark/>
          </w:tcPr>
          <w:p w14:paraId="1C492417" w14:textId="77777777" w:rsidR="00910E2E" w:rsidRPr="00910E2E" w:rsidRDefault="00910E2E" w:rsidP="00D65C98">
            <w:pPr>
              <w:jc w:val="both"/>
              <w:rPr>
                <w:b/>
                <w:bCs/>
                <w:sz w:val="20"/>
                <w:szCs w:val="20"/>
                <w:lang w:val="en-ID"/>
              </w:rPr>
            </w:pPr>
            <w:proofErr w:type="spellStart"/>
            <w:r w:rsidRPr="00910E2E">
              <w:rPr>
                <w:b/>
                <w:bCs/>
                <w:sz w:val="20"/>
                <w:szCs w:val="20"/>
                <w:lang w:val="en-ID"/>
              </w:rPr>
              <w:t>Maksimum</w:t>
            </w:r>
            <w:proofErr w:type="spellEnd"/>
          </w:p>
        </w:tc>
        <w:tc>
          <w:tcPr>
            <w:tcW w:w="0" w:type="auto"/>
            <w:hideMark/>
          </w:tcPr>
          <w:p w14:paraId="3CFA449F" w14:textId="77777777" w:rsidR="00910E2E" w:rsidRPr="00910E2E" w:rsidRDefault="00910E2E" w:rsidP="00D65C98">
            <w:pPr>
              <w:jc w:val="both"/>
              <w:rPr>
                <w:b/>
                <w:bCs/>
                <w:sz w:val="20"/>
                <w:szCs w:val="20"/>
                <w:lang w:val="en-ID"/>
              </w:rPr>
            </w:pPr>
            <w:r w:rsidRPr="00910E2E">
              <w:rPr>
                <w:b/>
                <w:bCs/>
                <w:sz w:val="20"/>
                <w:szCs w:val="20"/>
                <w:lang w:val="en-ID"/>
              </w:rPr>
              <w:t>Mean (mg/dL)</w:t>
            </w:r>
          </w:p>
        </w:tc>
        <w:tc>
          <w:tcPr>
            <w:tcW w:w="0" w:type="auto"/>
            <w:hideMark/>
          </w:tcPr>
          <w:p w14:paraId="68275F6D" w14:textId="77777777" w:rsidR="00910E2E" w:rsidRPr="00910E2E" w:rsidRDefault="00910E2E" w:rsidP="00D65C98">
            <w:pPr>
              <w:jc w:val="both"/>
              <w:rPr>
                <w:b/>
                <w:bCs/>
                <w:sz w:val="20"/>
                <w:szCs w:val="20"/>
                <w:lang w:val="en-ID"/>
              </w:rPr>
            </w:pPr>
            <w:r w:rsidRPr="00910E2E">
              <w:rPr>
                <w:b/>
                <w:bCs/>
                <w:sz w:val="20"/>
                <w:szCs w:val="20"/>
                <w:lang w:val="en-ID"/>
              </w:rPr>
              <w:t>SD</w:t>
            </w:r>
          </w:p>
        </w:tc>
        <w:tc>
          <w:tcPr>
            <w:tcW w:w="0" w:type="auto"/>
            <w:hideMark/>
          </w:tcPr>
          <w:p w14:paraId="4984C65E" w14:textId="77777777" w:rsidR="00910E2E" w:rsidRPr="00910E2E" w:rsidRDefault="00910E2E" w:rsidP="00D65C98">
            <w:pPr>
              <w:jc w:val="both"/>
              <w:rPr>
                <w:b/>
                <w:bCs/>
                <w:sz w:val="20"/>
                <w:szCs w:val="20"/>
                <w:lang w:val="en-ID"/>
              </w:rPr>
            </w:pPr>
            <w:r w:rsidRPr="00910E2E">
              <w:rPr>
                <w:b/>
                <w:bCs/>
                <w:sz w:val="20"/>
                <w:szCs w:val="20"/>
                <w:lang w:val="en-ID"/>
              </w:rPr>
              <w:t>Δ Mean</w:t>
            </w:r>
          </w:p>
        </w:tc>
      </w:tr>
      <w:tr w:rsidR="00910E2E" w:rsidRPr="00910E2E" w14:paraId="3AB68C88" w14:textId="77777777" w:rsidTr="00910E2E">
        <w:tc>
          <w:tcPr>
            <w:tcW w:w="0" w:type="auto"/>
            <w:vMerge w:val="restart"/>
            <w:hideMark/>
          </w:tcPr>
          <w:p w14:paraId="6D7B5DBA" w14:textId="77777777" w:rsidR="00910E2E" w:rsidRPr="00910E2E" w:rsidRDefault="00910E2E" w:rsidP="00D65C98">
            <w:pPr>
              <w:jc w:val="both"/>
              <w:rPr>
                <w:sz w:val="20"/>
                <w:szCs w:val="20"/>
                <w:lang w:val="en-ID"/>
              </w:rPr>
            </w:pPr>
            <w:r w:rsidRPr="00910E2E">
              <w:rPr>
                <w:sz w:val="20"/>
                <w:szCs w:val="20"/>
                <w:lang w:val="en-ID"/>
              </w:rPr>
              <w:t>Senam Kaki</w:t>
            </w:r>
          </w:p>
        </w:tc>
        <w:tc>
          <w:tcPr>
            <w:tcW w:w="0" w:type="auto"/>
            <w:hideMark/>
          </w:tcPr>
          <w:p w14:paraId="30C78DBA" w14:textId="77777777" w:rsidR="00910E2E" w:rsidRPr="00910E2E" w:rsidRDefault="00910E2E" w:rsidP="00D65C98">
            <w:pPr>
              <w:jc w:val="both"/>
              <w:rPr>
                <w:sz w:val="20"/>
                <w:szCs w:val="20"/>
                <w:lang w:val="en-ID"/>
              </w:rPr>
            </w:pPr>
            <w:r w:rsidRPr="00910E2E">
              <w:rPr>
                <w:sz w:val="20"/>
                <w:szCs w:val="20"/>
                <w:lang w:val="en-ID"/>
              </w:rPr>
              <w:t>Pre</w:t>
            </w:r>
          </w:p>
        </w:tc>
        <w:tc>
          <w:tcPr>
            <w:tcW w:w="0" w:type="auto"/>
            <w:hideMark/>
          </w:tcPr>
          <w:p w14:paraId="7294D46F" w14:textId="77777777" w:rsidR="00910E2E" w:rsidRPr="00910E2E" w:rsidRDefault="00910E2E" w:rsidP="00D65C98">
            <w:pPr>
              <w:jc w:val="both"/>
              <w:rPr>
                <w:sz w:val="20"/>
                <w:szCs w:val="20"/>
                <w:lang w:val="en-ID"/>
              </w:rPr>
            </w:pPr>
            <w:r w:rsidRPr="00910E2E">
              <w:rPr>
                <w:sz w:val="20"/>
                <w:szCs w:val="20"/>
                <w:lang w:val="en-ID"/>
              </w:rPr>
              <w:t>16</w:t>
            </w:r>
          </w:p>
        </w:tc>
        <w:tc>
          <w:tcPr>
            <w:tcW w:w="0" w:type="auto"/>
            <w:hideMark/>
          </w:tcPr>
          <w:p w14:paraId="52A6AB8C" w14:textId="77777777" w:rsidR="00910E2E" w:rsidRPr="00910E2E" w:rsidRDefault="00910E2E" w:rsidP="00D65C98">
            <w:pPr>
              <w:jc w:val="both"/>
              <w:rPr>
                <w:sz w:val="20"/>
                <w:szCs w:val="20"/>
                <w:lang w:val="en-ID"/>
              </w:rPr>
            </w:pPr>
            <w:r w:rsidRPr="00910E2E">
              <w:rPr>
                <w:sz w:val="20"/>
                <w:szCs w:val="20"/>
                <w:lang w:val="en-ID"/>
              </w:rPr>
              <w:t>126</w:t>
            </w:r>
          </w:p>
        </w:tc>
        <w:tc>
          <w:tcPr>
            <w:tcW w:w="0" w:type="auto"/>
            <w:hideMark/>
          </w:tcPr>
          <w:p w14:paraId="5F0FF233" w14:textId="77777777" w:rsidR="00910E2E" w:rsidRPr="00910E2E" w:rsidRDefault="00910E2E" w:rsidP="00D65C98">
            <w:pPr>
              <w:jc w:val="both"/>
              <w:rPr>
                <w:sz w:val="20"/>
                <w:szCs w:val="20"/>
                <w:lang w:val="en-ID"/>
              </w:rPr>
            </w:pPr>
            <w:r w:rsidRPr="00910E2E">
              <w:rPr>
                <w:sz w:val="20"/>
                <w:szCs w:val="20"/>
                <w:lang w:val="en-ID"/>
              </w:rPr>
              <w:t>382</w:t>
            </w:r>
          </w:p>
        </w:tc>
        <w:tc>
          <w:tcPr>
            <w:tcW w:w="0" w:type="auto"/>
            <w:hideMark/>
          </w:tcPr>
          <w:p w14:paraId="01CB6E4A" w14:textId="77777777" w:rsidR="00910E2E" w:rsidRPr="00910E2E" w:rsidRDefault="00910E2E" w:rsidP="00D65C98">
            <w:pPr>
              <w:jc w:val="both"/>
              <w:rPr>
                <w:sz w:val="20"/>
                <w:szCs w:val="20"/>
                <w:lang w:val="en-ID"/>
              </w:rPr>
            </w:pPr>
            <w:r w:rsidRPr="00910E2E">
              <w:rPr>
                <w:sz w:val="20"/>
                <w:szCs w:val="20"/>
                <w:lang w:val="en-ID"/>
              </w:rPr>
              <w:t>208,50</w:t>
            </w:r>
          </w:p>
        </w:tc>
        <w:tc>
          <w:tcPr>
            <w:tcW w:w="0" w:type="auto"/>
            <w:hideMark/>
          </w:tcPr>
          <w:p w14:paraId="7452C59A" w14:textId="77777777" w:rsidR="00910E2E" w:rsidRPr="00910E2E" w:rsidRDefault="00910E2E" w:rsidP="00D65C98">
            <w:pPr>
              <w:jc w:val="both"/>
              <w:rPr>
                <w:sz w:val="20"/>
                <w:szCs w:val="20"/>
                <w:lang w:val="en-ID"/>
              </w:rPr>
            </w:pPr>
            <w:r w:rsidRPr="00910E2E">
              <w:rPr>
                <w:sz w:val="20"/>
                <w:szCs w:val="20"/>
                <w:lang w:val="en-ID"/>
              </w:rPr>
              <w:t>60,22</w:t>
            </w:r>
          </w:p>
        </w:tc>
        <w:tc>
          <w:tcPr>
            <w:tcW w:w="0" w:type="auto"/>
            <w:vMerge w:val="restart"/>
            <w:hideMark/>
          </w:tcPr>
          <w:p w14:paraId="2673920C" w14:textId="30F97F89" w:rsidR="00910E2E" w:rsidRPr="00E32D59" w:rsidRDefault="00910E2E" w:rsidP="00D65C98">
            <w:pPr>
              <w:jc w:val="both"/>
              <w:rPr>
                <w:sz w:val="20"/>
                <w:szCs w:val="20"/>
                <w:lang w:val="en-ID"/>
              </w:rPr>
            </w:pPr>
            <w:r w:rsidRPr="00E32D59">
              <w:rPr>
                <w:sz w:val="20"/>
                <w:szCs w:val="20"/>
                <w:lang w:val="en-ID"/>
              </w:rPr>
              <w:t>42,31</w:t>
            </w:r>
          </w:p>
        </w:tc>
      </w:tr>
      <w:tr w:rsidR="00910E2E" w:rsidRPr="00910E2E" w14:paraId="26F7DD2D" w14:textId="77777777" w:rsidTr="00910E2E">
        <w:tc>
          <w:tcPr>
            <w:tcW w:w="0" w:type="auto"/>
            <w:vMerge/>
            <w:hideMark/>
          </w:tcPr>
          <w:p w14:paraId="083A23C3" w14:textId="77777777" w:rsidR="00910E2E" w:rsidRPr="00910E2E" w:rsidRDefault="00910E2E" w:rsidP="00D65C98">
            <w:pPr>
              <w:jc w:val="both"/>
              <w:rPr>
                <w:sz w:val="20"/>
                <w:szCs w:val="20"/>
                <w:lang w:val="en-ID"/>
              </w:rPr>
            </w:pPr>
          </w:p>
        </w:tc>
        <w:tc>
          <w:tcPr>
            <w:tcW w:w="0" w:type="auto"/>
            <w:hideMark/>
          </w:tcPr>
          <w:p w14:paraId="397AA7F6" w14:textId="77777777" w:rsidR="00910E2E" w:rsidRPr="00910E2E" w:rsidRDefault="00910E2E" w:rsidP="00D65C98">
            <w:pPr>
              <w:jc w:val="both"/>
              <w:rPr>
                <w:sz w:val="20"/>
                <w:szCs w:val="20"/>
                <w:lang w:val="en-ID"/>
              </w:rPr>
            </w:pPr>
            <w:r w:rsidRPr="00910E2E">
              <w:rPr>
                <w:sz w:val="20"/>
                <w:szCs w:val="20"/>
                <w:lang w:val="en-ID"/>
              </w:rPr>
              <w:t>Post</w:t>
            </w:r>
          </w:p>
        </w:tc>
        <w:tc>
          <w:tcPr>
            <w:tcW w:w="0" w:type="auto"/>
            <w:hideMark/>
          </w:tcPr>
          <w:p w14:paraId="318A6415" w14:textId="77777777" w:rsidR="00910E2E" w:rsidRPr="00910E2E" w:rsidRDefault="00910E2E" w:rsidP="00D65C98">
            <w:pPr>
              <w:jc w:val="both"/>
              <w:rPr>
                <w:sz w:val="20"/>
                <w:szCs w:val="20"/>
                <w:lang w:val="en-ID"/>
              </w:rPr>
            </w:pPr>
            <w:r w:rsidRPr="00910E2E">
              <w:rPr>
                <w:sz w:val="20"/>
                <w:szCs w:val="20"/>
                <w:lang w:val="en-ID"/>
              </w:rPr>
              <w:t>16</w:t>
            </w:r>
          </w:p>
        </w:tc>
        <w:tc>
          <w:tcPr>
            <w:tcW w:w="0" w:type="auto"/>
            <w:hideMark/>
          </w:tcPr>
          <w:p w14:paraId="252E39B2" w14:textId="77777777" w:rsidR="00910E2E" w:rsidRPr="00910E2E" w:rsidRDefault="00910E2E" w:rsidP="00D65C98">
            <w:pPr>
              <w:jc w:val="both"/>
              <w:rPr>
                <w:sz w:val="20"/>
                <w:szCs w:val="20"/>
                <w:lang w:val="en-ID"/>
              </w:rPr>
            </w:pPr>
            <w:r w:rsidRPr="00910E2E">
              <w:rPr>
                <w:sz w:val="20"/>
                <w:szCs w:val="20"/>
                <w:lang w:val="en-ID"/>
              </w:rPr>
              <w:t>120</w:t>
            </w:r>
          </w:p>
        </w:tc>
        <w:tc>
          <w:tcPr>
            <w:tcW w:w="0" w:type="auto"/>
            <w:hideMark/>
          </w:tcPr>
          <w:p w14:paraId="796820C0" w14:textId="77777777" w:rsidR="00910E2E" w:rsidRPr="00910E2E" w:rsidRDefault="00910E2E" w:rsidP="00D65C98">
            <w:pPr>
              <w:jc w:val="both"/>
              <w:rPr>
                <w:sz w:val="20"/>
                <w:szCs w:val="20"/>
                <w:lang w:val="en-ID"/>
              </w:rPr>
            </w:pPr>
            <w:r w:rsidRPr="00910E2E">
              <w:rPr>
                <w:sz w:val="20"/>
                <w:szCs w:val="20"/>
                <w:lang w:val="en-ID"/>
              </w:rPr>
              <w:t>240</w:t>
            </w:r>
          </w:p>
        </w:tc>
        <w:tc>
          <w:tcPr>
            <w:tcW w:w="0" w:type="auto"/>
            <w:hideMark/>
          </w:tcPr>
          <w:p w14:paraId="2ABD63B5" w14:textId="77777777" w:rsidR="00910E2E" w:rsidRPr="00910E2E" w:rsidRDefault="00910E2E" w:rsidP="00D65C98">
            <w:pPr>
              <w:jc w:val="both"/>
              <w:rPr>
                <w:sz w:val="20"/>
                <w:szCs w:val="20"/>
                <w:lang w:val="en-ID"/>
              </w:rPr>
            </w:pPr>
            <w:r w:rsidRPr="00910E2E">
              <w:rPr>
                <w:sz w:val="20"/>
                <w:szCs w:val="20"/>
                <w:lang w:val="en-ID"/>
              </w:rPr>
              <w:t>166,19</w:t>
            </w:r>
          </w:p>
        </w:tc>
        <w:tc>
          <w:tcPr>
            <w:tcW w:w="0" w:type="auto"/>
            <w:hideMark/>
          </w:tcPr>
          <w:p w14:paraId="3EA6D744" w14:textId="77777777" w:rsidR="00910E2E" w:rsidRPr="00910E2E" w:rsidRDefault="00910E2E" w:rsidP="00D65C98">
            <w:pPr>
              <w:jc w:val="both"/>
              <w:rPr>
                <w:sz w:val="20"/>
                <w:szCs w:val="20"/>
                <w:lang w:val="en-ID"/>
              </w:rPr>
            </w:pPr>
            <w:r w:rsidRPr="00910E2E">
              <w:rPr>
                <w:sz w:val="20"/>
                <w:szCs w:val="20"/>
                <w:lang w:val="en-ID"/>
              </w:rPr>
              <w:t>35,35</w:t>
            </w:r>
          </w:p>
        </w:tc>
        <w:tc>
          <w:tcPr>
            <w:tcW w:w="0" w:type="auto"/>
            <w:vMerge/>
            <w:hideMark/>
          </w:tcPr>
          <w:p w14:paraId="219D349B" w14:textId="4405E39B" w:rsidR="00910E2E" w:rsidRPr="00E32D59" w:rsidRDefault="00910E2E" w:rsidP="00D65C98">
            <w:pPr>
              <w:jc w:val="both"/>
              <w:rPr>
                <w:sz w:val="20"/>
                <w:szCs w:val="20"/>
                <w:lang w:val="en-ID"/>
              </w:rPr>
            </w:pPr>
          </w:p>
        </w:tc>
      </w:tr>
      <w:tr w:rsidR="00910E2E" w:rsidRPr="00910E2E" w14:paraId="46345B74" w14:textId="77777777" w:rsidTr="00910E2E">
        <w:tc>
          <w:tcPr>
            <w:tcW w:w="0" w:type="auto"/>
            <w:vMerge w:val="restart"/>
            <w:hideMark/>
          </w:tcPr>
          <w:p w14:paraId="0DECCA0A" w14:textId="77777777" w:rsidR="00910E2E" w:rsidRPr="00910E2E" w:rsidRDefault="00910E2E" w:rsidP="00D65C98">
            <w:pPr>
              <w:jc w:val="both"/>
              <w:rPr>
                <w:sz w:val="20"/>
                <w:szCs w:val="20"/>
                <w:lang w:val="en-ID"/>
              </w:rPr>
            </w:pPr>
            <w:proofErr w:type="spellStart"/>
            <w:r w:rsidRPr="00910E2E">
              <w:rPr>
                <w:sz w:val="20"/>
                <w:szCs w:val="20"/>
                <w:lang w:val="en-ID"/>
              </w:rPr>
              <w:t>Akupresur</w:t>
            </w:r>
            <w:proofErr w:type="spellEnd"/>
          </w:p>
        </w:tc>
        <w:tc>
          <w:tcPr>
            <w:tcW w:w="0" w:type="auto"/>
            <w:hideMark/>
          </w:tcPr>
          <w:p w14:paraId="500F8812" w14:textId="77777777" w:rsidR="00910E2E" w:rsidRPr="00910E2E" w:rsidRDefault="00910E2E" w:rsidP="00D65C98">
            <w:pPr>
              <w:jc w:val="both"/>
              <w:rPr>
                <w:sz w:val="20"/>
                <w:szCs w:val="20"/>
                <w:lang w:val="en-ID"/>
              </w:rPr>
            </w:pPr>
            <w:r w:rsidRPr="00910E2E">
              <w:rPr>
                <w:sz w:val="20"/>
                <w:szCs w:val="20"/>
                <w:lang w:val="en-ID"/>
              </w:rPr>
              <w:t>Pre</w:t>
            </w:r>
          </w:p>
        </w:tc>
        <w:tc>
          <w:tcPr>
            <w:tcW w:w="0" w:type="auto"/>
            <w:hideMark/>
          </w:tcPr>
          <w:p w14:paraId="7EE3FB58" w14:textId="77777777" w:rsidR="00910E2E" w:rsidRPr="00910E2E" w:rsidRDefault="00910E2E" w:rsidP="00D65C98">
            <w:pPr>
              <w:jc w:val="both"/>
              <w:rPr>
                <w:sz w:val="20"/>
                <w:szCs w:val="20"/>
                <w:lang w:val="en-ID"/>
              </w:rPr>
            </w:pPr>
            <w:r w:rsidRPr="00910E2E">
              <w:rPr>
                <w:sz w:val="20"/>
                <w:szCs w:val="20"/>
                <w:lang w:val="en-ID"/>
              </w:rPr>
              <w:t>16</w:t>
            </w:r>
          </w:p>
        </w:tc>
        <w:tc>
          <w:tcPr>
            <w:tcW w:w="0" w:type="auto"/>
            <w:hideMark/>
          </w:tcPr>
          <w:p w14:paraId="0B2E52E3" w14:textId="77777777" w:rsidR="00910E2E" w:rsidRPr="00910E2E" w:rsidRDefault="00910E2E" w:rsidP="00D65C98">
            <w:pPr>
              <w:jc w:val="both"/>
              <w:rPr>
                <w:sz w:val="20"/>
                <w:szCs w:val="20"/>
                <w:lang w:val="en-ID"/>
              </w:rPr>
            </w:pPr>
            <w:r w:rsidRPr="00910E2E">
              <w:rPr>
                <w:sz w:val="20"/>
                <w:szCs w:val="20"/>
                <w:lang w:val="en-ID"/>
              </w:rPr>
              <w:t>125</w:t>
            </w:r>
          </w:p>
        </w:tc>
        <w:tc>
          <w:tcPr>
            <w:tcW w:w="0" w:type="auto"/>
            <w:hideMark/>
          </w:tcPr>
          <w:p w14:paraId="0B2E81F2" w14:textId="77777777" w:rsidR="00910E2E" w:rsidRPr="00910E2E" w:rsidRDefault="00910E2E" w:rsidP="00D65C98">
            <w:pPr>
              <w:jc w:val="both"/>
              <w:rPr>
                <w:sz w:val="20"/>
                <w:szCs w:val="20"/>
                <w:lang w:val="en-ID"/>
              </w:rPr>
            </w:pPr>
            <w:r w:rsidRPr="00910E2E">
              <w:rPr>
                <w:sz w:val="20"/>
                <w:szCs w:val="20"/>
                <w:lang w:val="en-ID"/>
              </w:rPr>
              <w:t>325</w:t>
            </w:r>
          </w:p>
        </w:tc>
        <w:tc>
          <w:tcPr>
            <w:tcW w:w="0" w:type="auto"/>
            <w:hideMark/>
          </w:tcPr>
          <w:p w14:paraId="123BCC3A" w14:textId="77777777" w:rsidR="00910E2E" w:rsidRPr="00910E2E" w:rsidRDefault="00910E2E" w:rsidP="00D65C98">
            <w:pPr>
              <w:jc w:val="both"/>
              <w:rPr>
                <w:sz w:val="20"/>
                <w:szCs w:val="20"/>
                <w:lang w:val="en-ID"/>
              </w:rPr>
            </w:pPr>
            <w:r w:rsidRPr="00910E2E">
              <w:rPr>
                <w:sz w:val="20"/>
                <w:szCs w:val="20"/>
                <w:lang w:val="en-ID"/>
              </w:rPr>
              <w:t>215,12</w:t>
            </w:r>
          </w:p>
        </w:tc>
        <w:tc>
          <w:tcPr>
            <w:tcW w:w="0" w:type="auto"/>
            <w:hideMark/>
          </w:tcPr>
          <w:p w14:paraId="1B168019" w14:textId="77777777" w:rsidR="00910E2E" w:rsidRPr="00910E2E" w:rsidRDefault="00910E2E" w:rsidP="00D65C98">
            <w:pPr>
              <w:jc w:val="both"/>
              <w:rPr>
                <w:sz w:val="20"/>
                <w:szCs w:val="20"/>
                <w:lang w:val="en-ID"/>
              </w:rPr>
            </w:pPr>
            <w:r w:rsidRPr="00910E2E">
              <w:rPr>
                <w:sz w:val="20"/>
                <w:szCs w:val="20"/>
                <w:lang w:val="en-ID"/>
              </w:rPr>
              <w:t>62,53</w:t>
            </w:r>
          </w:p>
        </w:tc>
        <w:tc>
          <w:tcPr>
            <w:tcW w:w="0" w:type="auto"/>
            <w:vMerge w:val="restart"/>
            <w:hideMark/>
          </w:tcPr>
          <w:p w14:paraId="493D0D4F" w14:textId="496AB347" w:rsidR="00910E2E" w:rsidRPr="00E32D59" w:rsidRDefault="00910E2E" w:rsidP="00D65C98">
            <w:pPr>
              <w:jc w:val="both"/>
              <w:rPr>
                <w:sz w:val="20"/>
                <w:szCs w:val="20"/>
                <w:lang w:val="en-ID"/>
              </w:rPr>
            </w:pPr>
            <w:r w:rsidRPr="00E32D59">
              <w:rPr>
                <w:sz w:val="20"/>
                <w:szCs w:val="20"/>
                <w:lang w:val="en-ID"/>
              </w:rPr>
              <w:t>3,87</w:t>
            </w:r>
          </w:p>
        </w:tc>
      </w:tr>
      <w:tr w:rsidR="00910E2E" w:rsidRPr="00910E2E" w14:paraId="17AA0D93" w14:textId="77777777" w:rsidTr="00910E2E">
        <w:tc>
          <w:tcPr>
            <w:tcW w:w="0" w:type="auto"/>
            <w:vMerge/>
            <w:hideMark/>
          </w:tcPr>
          <w:p w14:paraId="61A53D1E" w14:textId="77777777" w:rsidR="00910E2E" w:rsidRPr="00910E2E" w:rsidRDefault="00910E2E" w:rsidP="00D65C98">
            <w:pPr>
              <w:jc w:val="both"/>
              <w:rPr>
                <w:sz w:val="20"/>
                <w:szCs w:val="20"/>
                <w:lang w:val="en-ID"/>
              </w:rPr>
            </w:pPr>
          </w:p>
        </w:tc>
        <w:tc>
          <w:tcPr>
            <w:tcW w:w="0" w:type="auto"/>
            <w:hideMark/>
          </w:tcPr>
          <w:p w14:paraId="1B2688C9" w14:textId="77777777" w:rsidR="00910E2E" w:rsidRPr="00910E2E" w:rsidRDefault="00910E2E" w:rsidP="00D65C98">
            <w:pPr>
              <w:jc w:val="both"/>
              <w:rPr>
                <w:sz w:val="20"/>
                <w:szCs w:val="20"/>
                <w:lang w:val="en-ID"/>
              </w:rPr>
            </w:pPr>
            <w:r w:rsidRPr="00910E2E">
              <w:rPr>
                <w:sz w:val="20"/>
                <w:szCs w:val="20"/>
                <w:lang w:val="en-ID"/>
              </w:rPr>
              <w:t>Post</w:t>
            </w:r>
          </w:p>
        </w:tc>
        <w:tc>
          <w:tcPr>
            <w:tcW w:w="0" w:type="auto"/>
            <w:hideMark/>
          </w:tcPr>
          <w:p w14:paraId="305A352D" w14:textId="77777777" w:rsidR="00910E2E" w:rsidRPr="00910E2E" w:rsidRDefault="00910E2E" w:rsidP="00D65C98">
            <w:pPr>
              <w:jc w:val="both"/>
              <w:rPr>
                <w:sz w:val="20"/>
                <w:szCs w:val="20"/>
                <w:lang w:val="en-ID"/>
              </w:rPr>
            </w:pPr>
            <w:r w:rsidRPr="00910E2E">
              <w:rPr>
                <w:sz w:val="20"/>
                <w:szCs w:val="20"/>
                <w:lang w:val="en-ID"/>
              </w:rPr>
              <w:t>16</w:t>
            </w:r>
          </w:p>
        </w:tc>
        <w:tc>
          <w:tcPr>
            <w:tcW w:w="0" w:type="auto"/>
            <w:hideMark/>
          </w:tcPr>
          <w:p w14:paraId="0FB6D4FE" w14:textId="77777777" w:rsidR="00910E2E" w:rsidRPr="00910E2E" w:rsidRDefault="00910E2E" w:rsidP="00D65C98">
            <w:pPr>
              <w:jc w:val="both"/>
              <w:rPr>
                <w:sz w:val="20"/>
                <w:szCs w:val="20"/>
                <w:lang w:val="en-ID"/>
              </w:rPr>
            </w:pPr>
            <w:r w:rsidRPr="00910E2E">
              <w:rPr>
                <w:sz w:val="20"/>
                <w:szCs w:val="20"/>
                <w:lang w:val="en-ID"/>
              </w:rPr>
              <w:t>124</w:t>
            </w:r>
          </w:p>
        </w:tc>
        <w:tc>
          <w:tcPr>
            <w:tcW w:w="0" w:type="auto"/>
            <w:hideMark/>
          </w:tcPr>
          <w:p w14:paraId="7415DF59" w14:textId="77777777" w:rsidR="00910E2E" w:rsidRPr="00910E2E" w:rsidRDefault="00910E2E" w:rsidP="00D65C98">
            <w:pPr>
              <w:jc w:val="both"/>
              <w:rPr>
                <w:sz w:val="20"/>
                <w:szCs w:val="20"/>
                <w:lang w:val="en-ID"/>
              </w:rPr>
            </w:pPr>
            <w:r w:rsidRPr="00910E2E">
              <w:rPr>
                <w:sz w:val="20"/>
                <w:szCs w:val="20"/>
                <w:lang w:val="en-ID"/>
              </w:rPr>
              <w:t>323</w:t>
            </w:r>
          </w:p>
        </w:tc>
        <w:tc>
          <w:tcPr>
            <w:tcW w:w="0" w:type="auto"/>
            <w:hideMark/>
          </w:tcPr>
          <w:p w14:paraId="062659B0" w14:textId="77777777" w:rsidR="00910E2E" w:rsidRPr="00910E2E" w:rsidRDefault="00910E2E" w:rsidP="00D65C98">
            <w:pPr>
              <w:jc w:val="both"/>
              <w:rPr>
                <w:sz w:val="20"/>
                <w:szCs w:val="20"/>
                <w:lang w:val="en-ID"/>
              </w:rPr>
            </w:pPr>
            <w:r w:rsidRPr="00910E2E">
              <w:rPr>
                <w:sz w:val="20"/>
                <w:szCs w:val="20"/>
                <w:lang w:val="en-ID"/>
              </w:rPr>
              <w:t>211,25</w:t>
            </w:r>
          </w:p>
        </w:tc>
        <w:tc>
          <w:tcPr>
            <w:tcW w:w="0" w:type="auto"/>
            <w:hideMark/>
          </w:tcPr>
          <w:p w14:paraId="084B6E43" w14:textId="77777777" w:rsidR="00910E2E" w:rsidRPr="00910E2E" w:rsidRDefault="00910E2E" w:rsidP="00D65C98">
            <w:pPr>
              <w:jc w:val="both"/>
              <w:rPr>
                <w:sz w:val="20"/>
                <w:szCs w:val="20"/>
                <w:lang w:val="en-ID"/>
              </w:rPr>
            </w:pPr>
            <w:r w:rsidRPr="00910E2E">
              <w:rPr>
                <w:sz w:val="20"/>
                <w:szCs w:val="20"/>
                <w:lang w:val="en-ID"/>
              </w:rPr>
              <w:t>61,85</w:t>
            </w:r>
          </w:p>
        </w:tc>
        <w:tc>
          <w:tcPr>
            <w:tcW w:w="0" w:type="auto"/>
            <w:vMerge/>
            <w:hideMark/>
          </w:tcPr>
          <w:p w14:paraId="50D1B217" w14:textId="5B2C3143" w:rsidR="00910E2E" w:rsidRPr="00910E2E" w:rsidRDefault="00910E2E" w:rsidP="00D65C98">
            <w:pPr>
              <w:jc w:val="both"/>
              <w:rPr>
                <w:sz w:val="20"/>
                <w:szCs w:val="20"/>
                <w:lang w:val="en-ID"/>
              </w:rPr>
            </w:pPr>
          </w:p>
        </w:tc>
      </w:tr>
    </w:tbl>
    <w:p w14:paraId="24A7CEC3" w14:textId="77777777" w:rsidR="00910E2E" w:rsidRDefault="00910E2E" w:rsidP="00910E2E">
      <w:pPr>
        <w:jc w:val="both"/>
        <w:rPr>
          <w:b/>
          <w:bCs/>
          <w:lang w:val="en-ID"/>
        </w:rPr>
      </w:pPr>
    </w:p>
    <w:p w14:paraId="3E1F5D59" w14:textId="77777777" w:rsidR="003272CD" w:rsidRDefault="003272CD" w:rsidP="00910E2E">
      <w:pPr>
        <w:jc w:val="both"/>
        <w:rPr>
          <w:lang w:val="sv-SE"/>
        </w:rPr>
        <w:sectPr w:rsidR="003272CD" w:rsidSect="003272CD">
          <w:type w:val="continuous"/>
          <w:pgSz w:w="11910" w:h="18720"/>
          <w:pgMar w:top="1260" w:right="992" w:bottom="1220" w:left="708" w:header="896" w:footer="1031" w:gutter="0"/>
          <w:cols w:space="720"/>
        </w:sectPr>
      </w:pPr>
    </w:p>
    <w:p w14:paraId="35B315F9" w14:textId="77777777" w:rsidR="00910E2E" w:rsidRPr="00E32D59" w:rsidRDefault="00910E2E" w:rsidP="00910E2E">
      <w:pPr>
        <w:jc w:val="both"/>
        <w:rPr>
          <w:lang w:val="sv-SE"/>
        </w:rPr>
      </w:pPr>
      <w:r w:rsidRPr="00E32D59">
        <w:rPr>
          <w:lang w:val="sv-SE"/>
        </w:rPr>
        <w:lastRenderedPageBreak/>
        <w:t xml:space="preserve">Secara deskriptif, kedua kelompok menunjukkan penurunan rata-rata kadar gula darah setelah intervensi. Namun, penurunan pada kelompok senam kaki jauh lebih besar dibandingkan kelompok akupresur. Kelompok senam kaki mengalami penurunan rata-rata sebesar 42,31 mg/dL, disertai penurunan standar deviasi yang cukup besar, menunjukkan respons yang lebih konsisten antar responden. Sebaliknya, kelompok akupresur hanya menunjukkan penurunan rata-rata sebesar 3,87 </w:t>
      </w:r>
      <w:r w:rsidRPr="00E32D59">
        <w:rPr>
          <w:lang w:val="sv-SE"/>
        </w:rPr>
        <w:lastRenderedPageBreak/>
        <w:t>mg/dL dengan variasi data yang relatif tinggi.</w:t>
      </w:r>
    </w:p>
    <w:p w14:paraId="13264194" w14:textId="77777777" w:rsidR="00910E2E" w:rsidRDefault="00910E2E" w:rsidP="00910E2E">
      <w:pPr>
        <w:jc w:val="both"/>
        <w:rPr>
          <w:b/>
          <w:bCs/>
          <w:lang w:val="sv-SE"/>
        </w:rPr>
      </w:pPr>
    </w:p>
    <w:p w14:paraId="7DECEB02" w14:textId="77777777" w:rsidR="003272CD" w:rsidRDefault="003272CD" w:rsidP="00910E2E">
      <w:pPr>
        <w:jc w:val="both"/>
        <w:rPr>
          <w:b/>
          <w:bCs/>
          <w:lang w:val="sv-SE"/>
        </w:rPr>
      </w:pPr>
    </w:p>
    <w:p w14:paraId="07E46336" w14:textId="77777777" w:rsidR="003272CD" w:rsidRPr="00910E2E" w:rsidRDefault="003272CD" w:rsidP="00910E2E">
      <w:pPr>
        <w:jc w:val="both"/>
        <w:rPr>
          <w:b/>
          <w:bCs/>
          <w:lang w:val="sv-SE"/>
        </w:rPr>
      </w:pPr>
    </w:p>
    <w:p w14:paraId="4C39519C" w14:textId="65FF13BF" w:rsidR="005E1D2C" w:rsidRPr="00910E2E" w:rsidRDefault="005E1D2C" w:rsidP="005E1D2C">
      <w:pPr>
        <w:jc w:val="both"/>
        <w:rPr>
          <w:b/>
          <w:bCs/>
          <w:lang w:val="sv-SE"/>
        </w:rPr>
      </w:pPr>
      <w:r w:rsidRPr="00910E2E">
        <w:rPr>
          <w:b/>
          <w:bCs/>
          <w:lang w:val="sv-SE"/>
        </w:rPr>
        <w:t>Analisis Bivariat</w:t>
      </w:r>
    </w:p>
    <w:p w14:paraId="1863E8D6" w14:textId="77777777" w:rsidR="005E1D2C" w:rsidRDefault="005E1D2C" w:rsidP="005E1D2C">
      <w:pPr>
        <w:jc w:val="both"/>
        <w:rPr>
          <w:lang w:val="sv-SE"/>
        </w:rPr>
      </w:pPr>
      <w:r w:rsidRPr="005E1D2C">
        <w:rPr>
          <w:b/>
          <w:bCs/>
          <w:lang w:val="sv-SE"/>
        </w:rPr>
        <w:t>Perbandingan Pre–Post dalam Kelompok</w:t>
      </w:r>
    </w:p>
    <w:p w14:paraId="544D054F" w14:textId="77777777" w:rsidR="003272CD" w:rsidRDefault="005E1D2C" w:rsidP="005E1D2C">
      <w:pPr>
        <w:jc w:val="both"/>
        <w:rPr>
          <w:lang w:val="sv-SE"/>
        </w:rPr>
        <w:sectPr w:rsidR="003272CD" w:rsidSect="003272CD">
          <w:type w:val="continuous"/>
          <w:pgSz w:w="11910" w:h="18720"/>
          <w:pgMar w:top="1260" w:right="992" w:bottom="1220" w:left="708" w:header="896" w:footer="1031" w:gutter="0"/>
          <w:cols w:num="2" w:space="720"/>
        </w:sectPr>
      </w:pPr>
      <w:r w:rsidRPr="005E1D2C">
        <w:rPr>
          <w:lang w:val="sv-SE"/>
        </w:rPr>
        <w:t>Uji Wilcoxon Signed Rank Test digunakan untuk menganalisis perbedaan kadar gula darah sebelum dan sesudah intervensi pada masing-masing kelompok (Tabel 3).</w:t>
      </w:r>
    </w:p>
    <w:p w14:paraId="1D9F3C75" w14:textId="1AE840D5" w:rsidR="005E1D2C" w:rsidRDefault="005E1D2C" w:rsidP="005E1D2C">
      <w:pPr>
        <w:jc w:val="both"/>
        <w:rPr>
          <w:lang w:val="sv-SE"/>
        </w:rPr>
      </w:pPr>
      <w:r w:rsidRPr="005E1D2C">
        <w:rPr>
          <w:lang w:val="sv-SE"/>
        </w:rPr>
        <w:lastRenderedPageBreak/>
        <w:t xml:space="preserve"> </w:t>
      </w:r>
    </w:p>
    <w:p w14:paraId="5F82DA38" w14:textId="14D269A3" w:rsidR="00910E2E" w:rsidRPr="00E32D59" w:rsidRDefault="00910E2E" w:rsidP="00910E2E">
      <w:pPr>
        <w:widowControl/>
        <w:autoSpaceDE/>
        <w:autoSpaceDN/>
        <w:jc w:val="center"/>
        <w:rPr>
          <w:b/>
          <w:bCs/>
          <w:sz w:val="20"/>
          <w:szCs w:val="20"/>
          <w:lang w:val="en-ID" w:eastAsia="zh-CN"/>
        </w:rPr>
      </w:pPr>
      <w:r w:rsidRPr="00E32D59">
        <w:rPr>
          <w:b/>
          <w:bCs/>
          <w:sz w:val="20"/>
          <w:szCs w:val="20"/>
          <w:lang w:val="en-ID" w:eastAsia="zh-CN"/>
        </w:rPr>
        <w:t xml:space="preserve">Tabel 3. </w:t>
      </w:r>
      <w:proofErr w:type="spellStart"/>
      <w:r w:rsidRPr="00E32D59">
        <w:rPr>
          <w:b/>
          <w:bCs/>
          <w:sz w:val="20"/>
          <w:szCs w:val="20"/>
          <w:lang w:val="en-ID" w:eastAsia="zh-CN"/>
        </w:rPr>
        <w:t>Hasil</w:t>
      </w:r>
      <w:proofErr w:type="spellEnd"/>
      <w:r w:rsidRPr="00E32D59">
        <w:rPr>
          <w:b/>
          <w:bCs/>
          <w:sz w:val="20"/>
          <w:szCs w:val="20"/>
          <w:lang w:val="en-ID" w:eastAsia="zh-CN"/>
        </w:rPr>
        <w:t xml:space="preserve"> </w:t>
      </w:r>
      <w:proofErr w:type="spellStart"/>
      <w:r w:rsidRPr="00E32D59">
        <w:rPr>
          <w:b/>
          <w:bCs/>
          <w:sz w:val="20"/>
          <w:szCs w:val="20"/>
          <w:lang w:val="en-ID" w:eastAsia="zh-CN"/>
        </w:rPr>
        <w:t>Uji</w:t>
      </w:r>
      <w:proofErr w:type="spellEnd"/>
      <w:r w:rsidRPr="00E32D59">
        <w:rPr>
          <w:b/>
          <w:bCs/>
          <w:sz w:val="20"/>
          <w:szCs w:val="20"/>
          <w:lang w:val="en-ID" w:eastAsia="zh-CN"/>
        </w:rPr>
        <w:t xml:space="preserve"> Wilcoxon Pre–Post </w:t>
      </w:r>
      <w:proofErr w:type="spellStart"/>
      <w:r w:rsidRPr="00E32D59">
        <w:rPr>
          <w:b/>
          <w:bCs/>
          <w:sz w:val="20"/>
          <w:szCs w:val="20"/>
          <w:lang w:val="en-ID" w:eastAsia="zh-CN"/>
        </w:rPr>
        <w:t>Intervensi</w:t>
      </w:r>
      <w:proofErr w:type="spellEnd"/>
    </w:p>
    <w:tbl>
      <w:tblPr>
        <w:tblStyle w:val="TableGrid"/>
        <w:tblW w:w="0" w:type="auto"/>
        <w:tblInd w:w="3041" w:type="dxa"/>
        <w:tblBorders>
          <w:left w:val="none" w:sz="0" w:space="0" w:color="auto"/>
          <w:right w:val="none" w:sz="0" w:space="0" w:color="auto"/>
          <w:insideV w:val="none" w:sz="0" w:space="0" w:color="auto"/>
        </w:tblBorders>
        <w:tblLook w:val="04A0" w:firstRow="1" w:lastRow="0" w:firstColumn="1" w:lastColumn="0" w:noHBand="0" w:noVBand="1"/>
      </w:tblPr>
      <w:tblGrid>
        <w:gridCol w:w="1200"/>
        <w:gridCol w:w="733"/>
        <w:gridCol w:w="850"/>
        <w:gridCol w:w="1394"/>
      </w:tblGrid>
      <w:tr w:rsidR="00910E2E" w:rsidRPr="00910E2E" w14:paraId="548B3526" w14:textId="77777777" w:rsidTr="00E32D59">
        <w:tc>
          <w:tcPr>
            <w:tcW w:w="0" w:type="auto"/>
            <w:hideMark/>
          </w:tcPr>
          <w:p w14:paraId="0BDAE84B" w14:textId="77777777" w:rsidR="00910E2E" w:rsidRPr="00910E2E" w:rsidRDefault="00910E2E" w:rsidP="00D65C98">
            <w:pPr>
              <w:widowControl/>
              <w:autoSpaceDE/>
              <w:autoSpaceDN/>
              <w:jc w:val="center"/>
              <w:rPr>
                <w:b/>
                <w:bCs/>
                <w:sz w:val="20"/>
                <w:szCs w:val="20"/>
                <w:lang w:val="en-ID" w:eastAsia="zh-CN"/>
              </w:rPr>
            </w:pPr>
            <w:proofErr w:type="spellStart"/>
            <w:r w:rsidRPr="00910E2E">
              <w:rPr>
                <w:b/>
                <w:bCs/>
                <w:sz w:val="20"/>
                <w:szCs w:val="20"/>
                <w:lang w:val="en-ID" w:eastAsia="zh-CN"/>
              </w:rPr>
              <w:t>Kelompok</w:t>
            </w:r>
            <w:proofErr w:type="spellEnd"/>
          </w:p>
        </w:tc>
        <w:tc>
          <w:tcPr>
            <w:tcW w:w="0" w:type="auto"/>
            <w:hideMark/>
          </w:tcPr>
          <w:p w14:paraId="680E4CA7" w14:textId="77777777" w:rsidR="00910E2E" w:rsidRPr="00910E2E" w:rsidRDefault="00910E2E" w:rsidP="00D65C98">
            <w:pPr>
              <w:widowControl/>
              <w:autoSpaceDE/>
              <w:autoSpaceDN/>
              <w:jc w:val="center"/>
              <w:rPr>
                <w:b/>
                <w:bCs/>
                <w:sz w:val="20"/>
                <w:szCs w:val="20"/>
                <w:lang w:val="en-ID" w:eastAsia="zh-CN"/>
              </w:rPr>
            </w:pPr>
            <w:r w:rsidRPr="00910E2E">
              <w:rPr>
                <w:b/>
                <w:bCs/>
                <w:sz w:val="20"/>
                <w:szCs w:val="20"/>
                <w:lang w:val="en-ID" w:eastAsia="zh-CN"/>
              </w:rPr>
              <w:t>Z</w:t>
            </w:r>
          </w:p>
        </w:tc>
        <w:tc>
          <w:tcPr>
            <w:tcW w:w="0" w:type="auto"/>
            <w:hideMark/>
          </w:tcPr>
          <w:p w14:paraId="079F807B" w14:textId="77777777" w:rsidR="00910E2E" w:rsidRPr="00910E2E" w:rsidRDefault="00910E2E" w:rsidP="00D65C98">
            <w:pPr>
              <w:widowControl/>
              <w:autoSpaceDE/>
              <w:autoSpaceDN/>
              <w:jc w:val="center"/>
              <w:rPr>
                <w:b/>
                <w:bCs/>
                <w:sz w:val="20"/>
                <w:szCs w:val="20"/>
                <w:lang w:val="en-ID" w:eastAsia="zh-CN"/>
              </w:rPr>
            </w:pPr>
            <w:r w:rsidRPr="00910E2E">
              <w:rPr>
                <w:b/>
                <w:bCs/>
                <w:sz w:val="20"/>
                <w:szCs w:val="20"/>
                <w:lang w:val="en-ID" w:eastAsia="zh-CN"/>
              </w:rPr>
              <w:t>p-value</w:t>
            </w:r>
          </w:p>
        </w:tc>
        <w:tc>
          <w:tcPr>
            <w:tcW w:w="0" w:type="auto"/>
            <w:hideMark/>
          </w:tcPr>
          <w:p w14:paraId="0D10B20C" w14:textId="77777777" w:rsidR="00910E2E" w:rsidRPr="00910E2E" w:rsidRDefault="00910E2E" w:rsidP="00D65C98">
            <w:pPr>
              <w:widowControl/>
              <w:autoSpaceDE/>
              <w:autoSpaceDN/>
              <w:jc w:val="center"/>
              <w:rPr>
                <w:b/>
                <w:bCs/>
                <w:sz w:val="20"/>
                <w:szCs w:val="20"/>
                <w:lang w:val="en-ID" w:eastAsia="zh-CN"/>
              </w:rPr>
            </w:pPr>
            <w:r w:rsidRPr="00910E2E">
              <w:rPr>
                <w:b/>
                <w:bCs/>
                <w:sz w:val="20"/>
                <w:szCs w:val="20"/>
                <w:lang w:val="en-ID" w:eastAsia="zh-CN"/>
              </w:rPr>
              <w:t>Effect Size (r)</w:t>
            </w:r>
          </w:p>
        </w:tc>
      </w:tr>
      <w:tr w:rsidR="00910E2E" w:rsidRPr="00910E2E" w14:paraId="4EB04EFE" w14:textId="77777777" w:rsidTr="00E32D59">
        <w:tc>
          <w:tcPr>
            <w:tcW w:w="0" w:type="auto"/>
            <w:hideMark/>
          </w:tcPr>
          <w:p w14:paraId="7B82D4E2" w14:textId="77777777" w:rsidR="00910E2E" w:rsidRPr="00910E2E" w:rsidRDefault="00910E2E" w:rsidP="00D65C98">
            <w:pPr>
              <w:widowControl/>
              <w:autoSpaceDE/>
              <w:autoSpaceDN/>
              <w:rPr>
                <w:sz w:val="20"/>
                <w:szCs w:val="20"/>
                <w:lang w:val="en-ID" w:eastAsia="zh-CN"/>
              </w:rPr>
            </w:pPr>
            <w:r w:rsidRPr="00910E2E">
              <w:rPr>
                <w:sz w:val="20"/>
                <w:szCs w:val="20"/>
                <w:lang w:val="en-ID" w:eastAsia="zh-CN"/>
              </w:rPr>
              <w:t>Senam Kaki</w:t>
            </w:r>
          </w:p>
        </w:tc>
        <w:tc>
          <w:tcPr>
            <w:tcW w:w="0" w:type="auto"/>
            <w:hideMark/>
          </w:tcPr>
          <w:p w14:paraId="652DD963" w14:textId="77777777" w:rsidR="00910E2E" w:rsidRPr="00910E2E" w:rsidRDefault="00910E2E" w:rsidP="00D65C98">
            <w:pPr>
              <w:widowControl/>
              <w:autoSpaceDE/>
              <w:autoSpaceDN/>
              <w:rPr>
                <w:sz w:val="20"/>
                <w:szCs w:val="20"/>
                <w:lang w:val="en-ID" w:eastAsia="zh-CN"/>
              </w:rPr>
            </w:pPr>
            <w:r w:rsidRPr="00910E2E">
              <w:rPr>
                <w:sz w:val="20"/>
                <w:szCs w:val="20"/>
                <w:lang w:val="en-ID" w:eastAsia="zh-CN"/>
              </w:rPr>
              <w:t>-3,439</w:t>
            </w:r>
          </w:p>
        </w:tc>
        <w:tc>
          <w:tcPr>
            <w:tcW w:w="0" w:type="auto"/>
            <w:hideMark/>
          </w:tcPr>
          <w:p w14:paraId="2AF98B66" w14:textId="77777777" w:rsidR="00910E2E" w:rsidRPr="00910E2E" w:rsidRDefault="00910E2E" w:rsidP="00D65C98">
            <w:pPr>
              <w:widowControl/>
              <w:autoSpaceDE/>
              <w:autoSpaceDN/>
              <w:rPr>
                <w:sz w:val="20"/>
                <w:szCs w:val="20"/>
                <w:lang w:val="en-ID" w:eastAsia="zh-CN"/>
              </w:rPr>
            </w:pPr>
            <w:r w:rsidRPr="00910E2E">
              <w:rPr>
                <w:sz w:val="20"/>
                <w:szCs w:val="20"/>
                <w:lang w:val="en-ID" w:eastAsia="zh-CN"/>
              </w:rPr>
              <w:t>0,001</w:t>
            </w:r>
          </w:p>
        </w:tc>
        <w:tc>
          <w:tcPr>
            <w:tcW w:w="0" w:type="auto"/>
            <w:hideMark/>
          </w:tcPr>
          <w:p w14:paraId="42659921" w14:textId="77777777" w:rsidR="00910E2E" w:rsidRPr="00910E2E" w:rsidRDefault="00910E2E" w:rsidP="00D65C98">
            <w:pPr>
              <w:widowControl/>
              <w:autoSpaceDE/>
              <w:autoSpaceDN/>
              <w:rPr>
                <w:sz w:val="20"/>
                <w:szCs w:val="20"/>
                <w:lang w:val="en-ID" w:eastAsia="zh-CN"/>
              </w:rPr>
            </w:pPr>
            <w:r w:rsidRPr="00910E2E">
              <w:rPr>
                <w:sz w:val="20"/>
                <w:szCs w:val="20"/>
                <w:lang w:val="en-ID" w:eastAsia="zh-CN"/>
              </w:rPr>
              <w:t>0,61 (</w:t>
            </w:r>
            <w:proofErr w:type="spellStart"/>
            <w:r w:rsidRPr="00910E2E">
              <w:rPr>
                <w:sz w:val="20"/>
                <w:szCs w:val="20"/>
                <w:lang w:val="en-ID" w:eastAsia="zh-CN"/>
              </w:rPr>
              <w:t>besar</w:t>
            </w:r>
            <w:proofErr w:type="spellEnd"/>
            <w:r w:rsidRPr="00910E2E">
              <w:rPr>
                <w:sz w:val="20"/>
                <w:szCs w:val="20"/>
                <w:lang w:val="en-ID" w:eastAsia="zh-CN"/>
              </w:rPr>
              <w:t>)</w:t>
            </w:r>
          </w:p>
        </w:tc>
      </w:tr>
      <w:tr w:rsidR="00910E2E" w:rsidRPr="00910E2E" w14:paraId="12C7158A" w14:textId="77777777" w:rsidTr="00E32D59">
        <w:tc>
          <w:tcPr>
            <w:tcW w:w="0" w:type="auto"/>
            <w:hideMark/>
          </w:tcPr>
          <w:p w14:paraId="5CD35577" w14:textId="77777777" w:rsidR="00910E2E" w:rsidRPr="00910E2E" w:rsidRDefault="00910E2E" w:rsidP="00D65C98">
            <w:pPr>
              <w:widowControl/>
              <w:autoSpaceDE/>
              <w:autoSpaceDN/>
              <w:rPr>
                <w:sz w:val="20"/>
                <w:szCs w:val="20"/>
                <w:lang w:val="en-ID" w:eastAsia="zh-CN"/>
              </w:rPr>
            </w:pPr>
            <w:proofErr w:type="spellStart"/>
            <w:r w:rsidRPr="00910E2E">
              <w:rPr>
                <w:sz w:val="20"/>
                <w:szCs w:val="20"/>
                <w:lang w:val="en-ID" w:eastAsia="zh-CN"/>
              </w:rPr>
              <w:t>Akupresur</w:t>
            </w:r>
            <w:proofErr w:type="spellEnd"/>
          </w:p>
        </w:tc>
        <w:tc>
          <w:tcPr>
            <w:tcW w:w="0" w:type="auto"/>
            <w:hideMark/>
          </w:tcPr>
          <w:p w14:paraId="3282A55A" w14:textId="77777777" w:rsidR="00910E2E" w:rsidRPr="00910E2E" w:rsidRDefault="00910E2E" w:rsidP="00D65C98">
            <w:pPr>
              <w:widowControl/>
              <w:autoSpaceDE/>
              <w:autoSpaceDN/>
              <w:rPr>
                <w:sz w:val="20"/>
                <w:szCs w:val="20"/>
                <w:lang w:val="en-ID" w:eastAsia="zh-CN"/>
              </w:rPr>
            </w:pPr>
            <w:r w:rsidRPr="00910E2E">
              <w:rPr>
                <w:sz w:val="20"/>
                <w:szCs w:val="20"/>
                <w:lang w:val="en-ID" w:eastAsia="zh-CN"/>
              </w:rPr>
              <w:t>-2,804</w:t>
            </w:r>
          </w:p>
        </w:tc>
        <w:tc>
          <w:tcPr>
            <w:tcW w:w="0" w:type="auto"/>
            <w:hideMark/>
          </w:tcPr>
          <w:p w14:paraId="590E2F7B" w14:textId="77777777" w:rsidR="00910E2E" w:rsidRPr="00910E2E" w:rsidRDefault="00910E2E" w:rsidP="00D65C98">
            <w:pPr>
              <w:widowControl/>
              <w:autoSpaceDE/>
              <w:autoSpaceDN/>
              <w:rPr>
                <w:sz w:val="20"/>
                <w:szCs w:val="20"/>
                <w:lang w:val="en-ID" w:eastAsia="zh-CN"/>
              </w:rPr>
            </w:pPr>
            <w:r w:rsidRPr="00910E2E">
              <w:rPr>
                <w:sz w:val="20"/>
                <w:szCs w:val="20"/>
                <w:lang w:val="en-ID" w:eastAsia="zh-CN"/>
              </w:rPr>
              <w:t>0,005</w:t>
            </w:r>
          </w:p>
        </w:tc>
        <w:tc>
          <w:tcPr>
            <w:tcW w:w="0" w:type="auto"/>
            <w:hideMark/>
          </w:tcPr>
          <w:p w14:paraId="10406DF5" w14:textId="77777777" w:rsidR="00910E2E" w:rsidRPr="00910E2E" w:rsidRDefault="00910E2E" w:rsidP="00D65C98">
            <w:pPr>
              <w:widowControl/>
              <w:autoSpaceDE/>
              <w:autoSpaceDN/>
              <w:rPr>
                <w:sz w:val="20"/>
                <w:szCs w:val="20"/>
                <w:lang w:val="en-ID" w:eastAsia="zh-CN"/>
              </w:rPr>
            </w:pPr>
            <w:r w:rsidRPr="00910E2E">
              <w:rPr>
                <w:sz w:val="20"/>
                <w:szCs w:val="20"/>
                <w:lang w:val="en-ID" w:eastAsia="zh-CN"/>
              </w:rPr>
              <w:t>0,50 (</w:t>
            </w:r>
            <w:proofErr w:type="spellStart"/>
            <w:r w:rsidRPr="00910E2E">
              <w:rPr>
                <w:sz w:val="20"/>
                <w:szCs w:val="20"/>
                <w:lang w:val="en-ID" w:eastAsia="zh-CN"/>
              </w:rPr>
              <w:t>sedang</w:t>
            </w:r>
            <w:proofErr w:type="spellEnd"/>
            <w:r w:rsidRPr="00910E2E">
              <w:rPr>
                <w:sz w:val="20"/>
                <w:szCs w:val="20"/>
                <w:lang w:val="en-ID" w:eastAsia="zh-CN"/>
              </w:rPr>
              <w:t>)</w:t>
            </w:r>
          </w:p>
        </w:tc>
      </w:tr>
    </w:tbl>
    <w:p w14:paraId="284B19FA" w14:textId="77777777" w:rsidR="00910E2E" w:rsidRDefault="00910E2E" w:rsidP="005E1D2C">
      <w:pPr>
        <w:jc w:val="both"/>
        <w:rPr>
          <w:lang w:val="sv-SE"/>
        </w:rPr>
      </w:pPr>
    </w:p>
    <w:p w14:paraId="29D1952C" w14:textId="77777777" w:rsidR="003272CD" w:rsidRDefault="003272CD" w:rsidP="005E1D2C">
      <w:pPr>
        <w:jc w:val="both"/>
        <w:rPr>
          <w:lang w:val="sv-SE"/>
        </w:rPr>
        <w:sectPr w:rsidR="003272CD" w:rsidSect="003272CD">
          <w:type w:val="continuous"/>
          <w:pgSz w:w="11910" w:h="18720"/>
          <w:pgMar w:top="1260" w:right="992" w:bottom="1220" w:left="708" w:header="896" w:footer="1031" w:gutter="0"/>
          <w:cols w:space="720"/>
        </w:sectPr>
      </w:pPr>
    </w:p>
    <w:p w14:paraId="162B0D55" w14:textId="7CC12EA4" w:rsidR="00910E2E" w:rsidRDefault="00910E2E" w:rsidP="005E1D2C">
      <w:pPr>
        <w:jc w:val="both"/>
        <w:rPr>
          <w:lang w:val="sv-SE"/>
        </w:rPr>
      </w:pPr>
      <w:r w:rsidRPr="005E1D2C">
        <w:rPr>
          <w:lang w:val="sv-SE"/>
        </w:rPr>
        <w:lastRenderedPageBreak/>
        <w:t xml:space="preserve">Hasil uji Wilcoxon menunjukkan bahwa kedua intervensi memberikan penurunan kadar gula darah yang signifikan secara statistik. Namun, nilai </w:t>
      </w:r>
      <w:r w:rsidRPr="005E1D2C">
        <w:rPr>
          <w:i/>
          <w:iCs/>
          <w:lang w:val="sv-SE"/>
        </w:rPr>
        <w:t>effect size</w:t>
      </w:r>
      <w:r w:rsidRPr="005E1D2C">
        <w:rPr>
          <w:lang w:val="sv-SE"/>
        </w:rPr>
        <w:t xml:space="preserve"> menunjukkan bahwa senam kaki memiliki kekuatan efek yang lebih besar dibandingkan akupresur.</w:t>
      </w:r>
    </w:p>
    <w:p w14:paraId="7150A86B" w14:textId="77777777" w:rsidR="003272CD" w:rsidRDefault="003272CD" w:rsidP="005E1D2C">
      <w:pPr>
        <w:jc w:val="both"/>
        <w:rPr>
          <w:b/>
          <w:bCs/>
          <w:lang w:val="sv-SE"/>
        </w:rPr>
      </w:pPr>
    </w:p>
    <w:p w14:paraId="2DD99EB3" w14:textId="0BFC8395" w:rsidR="005E1D2C" w:rsidRDefault="005E1D2C" w:rsidP="005E1D2C">
      <w:pPr>
        <w:jc w:val="both"/>
        <w:rPr>
          <w:b/>
          <w:bCs/>
          <w:lang w:val="sv-SE"/>
        </w:rPr>
      </w:pPr>
      <w:r w:rsidRPr="005E1D2C">
        <w:rPr>
          <w:b/>
          <w:bCs/>
          <w:lang w:val="sv-SE"/>
        </w:rPr>
        <w:t>Perbandingan Antar Kelompok</w:t>
      </w:r>
    </w:p>
    <w:p w14:paraId="68547AEB" w14:textId="77777777" w:rsidR="003272CD" w:rsidRDefault="005E1D2C" w:rsidP="00E32D59">
      <w:pPr>
        <w:jc w:val="both"/>
        <w:rPr>
          <w:lang w:val="sv-SE"/>
        </w:rPr>
        <w:sectPr w:rsidR="003272CD" w:rsidSect="003272CD">
          <w:type w:val="continuous"/>
          <w:pgSz w:w="11910" w:h="18720"/>
          <w:pgMar w:top="1260" w:right="992" w:bottom="1220" w:left="708" w:header="896" w:footer="1031" w:gutter="0"/>
          <w:cols w:num="2" w:space="720"/>
        </w:sectPr>
      </w:pPr>
      <w:r w:rsidRPr="005E1D2C">
        <w:rPr>
          <w:lang w:val="sv-SE"/>
        </w:rPr>
        <w:t>Untuk membandingkan besar penurunan kadar gula darah antara kedua kelompok, digunakan uji Mann–Whitney U Test (Tabel 4).</w:t>
      </w:r>
    </w:p>
    <w:p w14:paraId="256473A5" w14:textId="77777777" w:rsidR="00E32D59" w:rsidRDefault="005E1D2C" w:rsidP="00E32D59">
      <w:pPr>
        <w:jc w:val="both"/>
        <w:rPr>
          <w:lang w:val="sv-SE"/>
        </w:rPr>
      </w:pPr>
      <w:r w:rsidRPr="005E1D2C">
        <w:rPr>
          <w:lang w:val="sv-SE"/>
        </w:rPr>
        <w:lastRenderedPageBreak/>
        <w:t xml:space="preserve"> </w:t>
      </w:r>
    </w:p>
    <w:p w14:paraId="025F7715" w14:textId="3A81ECC1" w:rsidR="00E32D59" w:rsidRPr="00E32D59" w:rsidRDefault="00E32D59" w:rsidP="00E32D59">
      <w:pPr>
        <w:jc w:val="center"/>
        <w:rPr>
          <w:b/>
          <w:bCs/>
          <w:sz w:val="20"/>
          <w:szCs w:val="20"/>
          <w:lang w:val="sv-SE" w:eastAsia="zh-CN"/>
        </w:rPr>
      </w:pPr>
      <w:r w:rsidRPr="00E32D59">
        <w:rPr>
          <w:b/>
          <w:bCs/>
          <w:sz w:val="20"/>
          <w:szCs w:val="20"/>
          <w:lang w:val="sv-SE" w:eastAsia="zh-CN"/>
        </w:rPr>
        <w:t>Tabel 4. Perbandingan Penurunan Kadar Gula Darah Antar Kelompok</w:t>
      </w:r>
    </w:p>
    <w:tbl>
      <w:tblPr>
        <w:tblStyle w:val="TableGrid"/>
        <w:tblW w:w="0" w:type="auto"/>
        <w:tblInd w:w="1750" w:type="dxa"/>
        <w:tblBorders>
          <w:left w:val="none" w:sz="0" w:space="0" w:color="auto"/>
          <w:right w:val="none" w:sz="0" w:space="0" w:color="auto"/>
          <w:insideV w:val="none" w:sz="0" w:space="0" w:color="auto"/>
        </w:tblBorders>
        <w:tblLook w:val="04A0" w:firstRow="1" w:lastRow="0" w:firstColumn="1" w:lastColumn="0" w:noHBand="0" w:noVBand="1"/>
      </w:tblPr>
      <w:tblGrid>
        <w:gridCol w:w="1200"/>
        <w:gridCol w:w="416"/>
        <w:gridCol w:w="1222"/>
        <w:gridCol w:w="1417"/>
        <w:gridCol w:w="850"/>
        <w:gridCol w:w="1394"/>
      </w:tblGrid>
      <w:tr w:rsidR="00E32D59" w:rsidRPr="00E32D59" w14:paraId="2735A74A" w14:textId="77777777" w:rsidTr="00E32D59">
        <w:tc>
          <w:tcPr>
            <w:tcW w:w="0" w:type="auto"/>
            <w:hideMark/>
          </w:tcPr>
          <w:p w14:paraId="55F19D3D" w14:textId="77777777" w:rsidR="00E32D59" w:rsidRPr="00E32D59" w:rsidRDefault="00E32D59" w:rsidP="00D65C98">
            <w:pPr>
              <w:widowControl/>
              <w:autoSpaceDE/>
              <w:autoSpaceDN/>
              <w:jc w:val="center"/>
              <w:rPr>
                <w:b/>
                <w:bCs/>
                <w:sz w:val="20"/>
                <w:szCs w:val="20"/>
                <w:lang w:val="en-ID" w:eastAsia="zh-CN"/>
              </w:rPr>
            </w:pPr>
            <w:proofErr w:type="spellStart"/>
            <w:r w:rsidRPr="00E32D59">
              <w:rPr>
                <w:b/>
                <w:bCs/>
                <w:sz w:val="20"/>
                <w:szCs w:val="20"/>
                <w:lang w:val="en-ID" w:eastAsia="zh-CN"/>
              </w:rPr>
              <w:t>Kelompok</w:t>
            </w:r>
            <w:proofErr w:type="spellEnd"/>
          </w:p>
        </w:tc>
        <w:tc>
          <w:tcPr>
            <w:tcW w:w="0" w:type="auto"/>
            <w:hideMark/>
          </w:tcPr>
          <w:p w14:paraId="312A06C7" w14:textId="77777777" w:rsidR="00E32D59" w:rsidRPr="00E32D59" w:rsidRDefault="00E32D59" w:rsidP="00D65C98">
            <w:pPr>
              <w:widowControl/>
              <w:autoSpaceDE/>
              <w:autoSpaceDN/>
              <w:jc w:val="center"/>
              <w:rPr>
                <w:b/>
                <w:bCs/>
                <w:sz w:val="20"/>
                <w:szCs w:val="20"/>
                <w:lang w:val="en-ID" w:eastAsia="zh-CN"/>
              </w:rPr>
            </w:pPr>
            <w:r w:rsidRPr="00E32D59">
              <w:rPr>
                <w:b/>
                <w:bCs/>
                <w:sz w:val="20"/>
                <w:szCs w:val="20"/>
                <w:lang w:val="en-ID" w:eastAsia="zh-CN"/>
              </w:rPr>
              <w:t>N</w:t>
            </w:r>
          </w:p>
        </w:tc>
        <w:tc>
          <w:tcPr>
            <w:tcW w:w="0" w:type="auto"/>
            <w:hideMark/>
          </w:tcPr>
          <w:p w14:paraId="3452BD10" w14:textId="77777777" w:rsidR="00E32D59" w:rsidRPr="00E32D59" w:rsidRDefault="00E32D59" w:rsidP="00D65C98">
            <w:pPr>
              <w:widowControl/>
              <w:autoSpaceDE/>
              <w:autoSpaceDN/>
              <w:jc w:val="center"/>
              <w:rPr>
                <w:b/>
                <w:bCs/>
                <w:sz w:val="20"/>
                <w:szCs w:val="20"/>
                <w:lang w:val="en-ID" w:eastAsia="zh-CN"/>
              </w:rPr>
            </w:pPr>
            <w:r w:rsidRPr="00E32D59">
              <w:rPr>
                <w:b/>
                <w:bCs/>
                <w:sz w:val="20"/>
                <w:szCs w:val="20"/>
                <w:lang w:val="en-ID" w:eastAsia="zh-CN"/>
              </w:rPr>
              <w:t>Mean Rank</w:t>
            </w:r>
          </w:p>
        </w:tc>
        <w:tc>
          <w:tcPr>
            <w:tcW w:w="0" w:type="auto"/>
            <w:hideMark/>
          </w:tcPr>
          <w:p w14:paraId="652BCE33" w14:textId="77777777" w:rsidR="00E32D59" w:rsidRPr="00E32D59" w:rsidRDefault="00E32D59" w:rsidP="00D65C98">
            <w:pPr>
              <w:widowControl/>
              <w:autoSpaceDE/>
              <w:autoSpaceDN/>
              <w:jc w:val="center"/>
              <w:rPr>
                <w:b/>
                <w:bCs/>
                <w:sz w:val="20"/>
                <w:szCs w:val="20"/>
                <w:lang w:val="en-ID" w:eastAsia="zh-CN"/>
              </w:rPr>
            </w:pPr>
            <w:r w:rsidRPr="00E32D59">
              <w:rPr>
                <w:b/>
                <w:bCs/>
                <w:sz w:val="20"/>
                <w:szCs w:val="20"/>
                <w:lang w:val="en-ID" w:eastAsia="zh-CN"/>
              </w:rPr>
              <w:t>Sum of Ranks</w:t>
            </w:r>
          </w:p>
        </w:tc>
        <w:tc>
          <w:tcPr>
            <w:tcW w:w="0" w:type="auto"/>
            <w:hideMark/>
          </w:tcPr>
          <w:p w14:paraId="5C926DFE" w14:textId="77777777" w:rsidR="00E32D59" w:rsidRPr="00E32D59" w:rsidRDefault="00E32D59" w:rsidP="00D65C98">
            <w:pPr>
              <w:widowControl/>
              <w:autoSpaceDE/>
              <w:autoSpaceDN/>
              <w:jc w:val="center"/>
              <w:rPr>
                <w:b/>
                <w:bCs/>
                <w:sz w:val="20"/>
                <w:szCs w:val="20"/>
                <w:lang w:val="en-ID" w:eastAsia="zh-CN"/>
              </w:rPr>
            </w:pPr>
            <w:r w:rsidRPr="00E32D59">
              <w:rPr>
                <w:b/>
                <w:bCs/>
                <w:sz w:val="20"/>
                <w:szCs w:val="20"/>
                <w:lang w:val="en-ID" w:eastAsia="zh-CN"/>
              </w:rPr>
              <w:t>p-value</w:t>
            </w:r>
          </w:p>
        </w:tc>
        <w:tc>
          <w:tcPr>
            <w:tcW w:w="0" w:type="auto"/>
            <w:hideMark/>
          </w:tcPr>
          <w:p w14:paraId="78927F96" w14:textId="77777777" w:rsidR="00E32D59" w:rsidRPr="00E32D59" w:rsidRDefault="00E32D59" w:rsidP="00D65C98">
            <w:pPr>
              <w:widowControl/>
              <w:autoSpaceDE/>
              <w:autoSpaceDN/>
              <w:jc w:val="center"/>
              <w:rPr>
                <w:b/>
                <w:bCs/>
                <w:sz w:val="20"/>
                <w:szCs w:val="20"/>
                <w:lang w:val="en-ID" w:eastAsia="zh-CN"/>
              </w:rPr>
            </w:pPr>
            <w:r w:rsidRPr="00E32D59">
              <w:rPr>
                <w:b/>
                <w:bCs/>
                <w:sz w:val="20"/>
                <w:szCs w:val="20"/>
                <w:lang w:val="en-ID" w:eastAsia="zh-CN"/>
              </w:rPr>
              <w:t>Effect Size (r)</w:t>
            </w:r>
          </w:p>
        </w:tc>
      </w:tr>
      <w:tr w:rsidR="00E32D59" w:rsidRPr="00E32D59" w14:paraId="7E379185" w14:textId="77777777" w:rsidTr="00E32D59">
        <w:tc>
          <w:tcPr>
            <w:tcW w:w="0" w:type="auto"/>
            <w:hideMark/>
          </w:tcPr>
          <w:p w14:paraId="505F76DB"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Senam Kaki</w:t>
            </w:r>
          </w:p>
        </w:tc>
        <w:tc>
          <w:tcPr>
            <w:tcW w:w="0" w:type="auto"/>
            <w:hideMark/>
          </w:tcPr>
          <w:p w14:paraId="795F9981"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16</w:t>
            </w:r>
          </w:p>
        </w:tc>
        <w:tc>
          <w:tcPr>
            <w:tcW w:w="0" w:type="auto"/>
            <w:hideMark/>
          </w:tcPr>
          <w:p w14:paraId="6390E3EB"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20,66</w:t>
            </w:r>
          </w:p>
        </w:tc>
        <w:tc>
          <w:tcPr>
            <w:tcW w:w="0" w:type="auto"/>
            <w:hideMark/>
          </w:tcPr>
          <w:p w14:paraId="4884AA87"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330,50</w:t>
            </w:r>
          </w:p>
        </w:tc>
        <w:tc>
          <w:tcPr>
            <w:tcW w:w="0" w:type="auto"/>
            <w:hideMark/>
          </w:tcPr>
          <w:p w14:paraId="248ED60F"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0,012</w:t>
            </w:r>
          </w:p>
        </w:tc>
        <w:tc>
          <w:tcPr>
            <w:tcW w:w="0" w:type="auto"/>
            <w:vMerge w:val="restart"/>
            <w:hideMark/>
          </w:tcPr>
          <w:p w14:paraId="16B6CF33"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0,44 (</w:t>
            </w:r>
            <w:proofErr w:type="spellStart"/>
            <w:r w:rsidRPr="00E32D59">
              <w:rPr>
                <w:sz w:val="20"/>
                <w:szCs w:val="20"/>
                <w:lang w:val="en-ID" w:eastAsia="zh-CN"/>
              </w:rPr>
              <w:t>sedang</w:t>
            </w:r>
            <w:proofErr w:type="spellEnd"/>
            <w:r w:rsidRPr="00E32D59">
              <w:rPr>
                <w:sz w:val="20"/>
                <w:szCs w:val="20"/>
                <w:lang w:val="en-ID" w:eastAsia="zh-CN"/>
              </w:rPr>
              <w:t>)</w:t>
            </w:r>
          </w:p>
        </w:tc>
      </w:tr>
      <w:tr w:rsidR="00E32D59" w:rsidRPr="00E32D59" w14:paraId="3AE45498" w14:textId="77777777" w:rsidTr="00E32D59">
        <w:tc>
          <w:tcPr>
            <w:tcW w:w="0" w:type="auto"/>
            <w:hideMark/>
          </w:tcPr>
          <w:p w14:paraId="34D68BC9" w14:textId="77777777" w:rsidR="00E32D59" w:rsidRPr="00E32D59" w:rsidRDefault="00E32D59" w:rsidP="00D65C98">
            <w:pPr>
              <w:widowControl/>
              <w:autoSpaceDE/>
              <w:autoSpaceDN/>
              <w:rPr>
                <w:sz w:val="20"/>
                <w:szCs w:val="20"/>
                <w:lang w:val="en-ID" w:eastAsia="zh-CN"/>
              </w:rPr>
            </w:pPr>
            <w:proofErr w:type="spellStart"/>
            <w:r w:rsidRPr="00E32D59">
              <w:rPr>
                <w:sz w:val="20"/>
                <w:szCs w:val="20"/>
                <w:lang w:val="en-ID" w:eastAsia="zh-CN"/>
              </w:rPr>
              <w:t>Akupresur</w:t>
            </w:r>
            <w:proofErr w:type="spellEnd"/>
          </w:p>
        </w:tc>
        <w:tc>
          <w:tcPr>
            <w:tcW w:w="0" w:type="auto"/>
            <w:hideMark/>
          </w:tcPr>
          <w:p w14:paraId="25BD6A39"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16</w:t>
            </w:r>
          </w:p>
        </w:tc>
        <w:tc>
          <w:tcPr>
            <w:tcW w:w="0" w:type="auto"/>
            <w:hideMark/>
          </w:tcPr>
          <w:p w14:paraId="6EA0DC21"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12,34</w:t>
            </w:r>
          </w:p>
        </w:tc>
        <w:tc>
          <w:tcPr>
            <w:tcW w:w="0" w:type="auto"/>
            <w:hideMark/>
          </w:tcPr>
          <w:p w14:paraId="2C29CC82" w14:textId="77777777" w:rsidR="00E32D59" w:rsidRPr="00E32D59" w:rsidRDefault="00E32D59" w:rsidP="00D65C98">
            <w:pPr>
              <w:widowControl/>
              <w:autoSpaceDE/>
              <w:autoSpaceDN/>
              <w:rPr>
                <w:sz w:val="20"/>
                <w:szCs w:val="20"/>
                <w:lang w:val="en-ID" w:eastAsia="zh-CN"/>
              </w:rPr>
            </w:pPr>
            <w:r w:rsidRPr="00E32D59">
              <w:rPr>
                <w:sz w:val="20"/>
                <w:szCs w:val="20"/>
                <w:lang w:val="en-ID" w:eastAsia="zh-CN"/>
              </w:rPr>
              <w:t>197,50</w:t>
            </w:r>
          </w:p>
        </w:tc>
        <w:tc>
          <w:tcPr>
            <w:tcW w:w="0" w:type="auto"/>
            <w:hideMark/>
          </w:tcPr>
          <w:p w14:paraId="5A976E11" w14:textId="77777777" w:rsidR="00E32D59" w:rsidRPr="00E32D59" w:rsidRDefault="00E32D59" w:rsidP="00D65C98">
            <w:pPr>
              <w:widowControl/>
              <w:autoSpaceDE/>
              <w:autoSpaceDN/>
              <w:rPr>
                <w:sz w:val="20"/>
                <w:szCs w:val="20"/>
                <w:lang w:val="en-ID" w:eastAsia="zh-CN"/>
              </w:rPr>
            </w:pPr>
          </w:p>
        </w:tc>
        <w:tc>
          <w:tcPr>
            <w:tcW w:w="0" w:type="auto"/>
            <w:vMerge/>
            <w:hideMark/>
          </w:tcPr>
          <w:p w14:paraId="7E667004" w14:textId="77777777" w:rsidR="00E32D59" w:rsidRPr="00E32D59" w:rsidRDefault="00E32D59" w:rsidP="00D65C98">
            <w:pPr>
              <w:widowControl/>
              <w:autoSpaceDE/>
              <w:autoSpaceDN/>
              <w:rPr>
                <w:sz w:val="20"/>
                <w:szCs w:val="20"/>
                <w:lang w:val="en-ID" w:eastAsia="zh-CN"/>
              </w:rPr>
            </w:pPr>
          </w:p>
        </w:tc>
      </w:tr>
    </w:tbl>
    <w:p w14:paraId="5832B856" w14:textId="77777777" w:rsidR="00E32D59" w:rsidRDefault="00E32D59" w:rsidP="00E32D59">
      <w:pPr>
        <w:jc w:val="center"/>
        <w:rPr>
          <w:b/>
          <w:bCs/>
          <w:sz w:val="24"/>
          <w:szCs w:val="24"/>
          <w:lang w:val="sv-SE" w:eastAsia="zh-CN"/>
        </w:rPr>
      </w:pPr>
    </w:p>
    <w:p w14:paraId="3E5A010A" w14:textId="77777777" w:rsidR="003272CD" w:rsidRDefault="003272CD" w:rsidP="005E1D2C">
      <w:pPr>
        <w:jc w:val="both"/>
        <w:sectPr w:rsidR="003272CD" w:rsidSect="003272CD">
          <w:type w:val="continuous"/>
          <w:pgSz w:w="11910" w:h="18720"/>
          <w:pgMar w:top="1260" w:right="992" w:bottom="1220" w:left="708" w:header="896" w:footer="1031" w:gutter="0"/>
          <w:cols w:space="720"/>
        </w:sectPr>
      </w:pPr>
    </w:p>
    <w:p w14:paraId="55E12DA7" w14:textId="325ADAC5" w:rsidR="005E1D2C" w:rsidRDefault="005E1D2C" w:rsidP="005E1D2C">
      <w:pPr>
        <w:jc w:val="both"/>
      </w:pPr>
      <w:r w:rsidRPr="005E1D2C">
        <w:lastRenderedPageBreak/>
        <w:t xml:space="preserve">Hasil uji Mann–Whitney menunjukkan adanya perbedaan penurunan kadar gula darah yang signifikan antara kedua kelompok (p = 0,012). Nilai </w:t>
      </w:r>
      <w:r w:rsidRPr="005E1D2C">
        <w:rPr>
          <w:i/>
          <w:iCs/>
        </w:rPr>
        <w:t>mean rank</w:t>
      </w:r>
      <w:r w:rsidRPr="005E1D2C">
        <w:t xml:space="preserve"> yang lebih tinggi pada kelompok senam kaki mengindikasikan bahwa senam kaki lebih efektif dalam menurunkan kadar gula darah dibandingkan akupresur.</w:t>
      </w:r>
    </w:p>
    <w:p w14:paraId="5A7D8FFA" w14:textId="77777777" w:rsidR="005E1D2C" w:rsidRDefault="005E1D2C" w:rsidP="005E1D2C">
      <w:pPr>
        <w:jc w:val="both"/>
      </w:pPr>
    </w:p>
    <w:p w14:paraId="0AD608CD" w14:textId="23541C85" w:rsidR="00D44C37" w:rsidRPr="005E1D2C" w:rsidRDefault="00DE481C" w:rsidP="005E1D2C">
      <w:pPr>
        <w:jc w:val="both"/>
        <w:rPr>
          <w:b/>
          <w:bCs/>
        </w:rPr>
      </w:pPr>
      <w:r>
        <w:rPr>
          <w:b/>
          <w:bCs/>
        </w:rPr>
        <w:t>Pembahasan</w:t>
      </w:r>
    </w:p>
    <w:p w14:paraId="57145F4D" w14:textId="77777777" w:rsidR="001938A1" w:rsidRDefault="001938A1" w:rsidP="001938A1">
      <w:pPr>
        <w:pStyle w:val="BodyText"/>
        <w:spacing w:before="7"/>
        <w:ind w:firstLine="426"/>
        <w:jc w:val="both"/>
      </w:pPr>
      <w:r>
        <w:t>Hasil penelitian ini menunjukkan bahwa baik senam kaki maupun akupresur memberikan penurunan kadar gula darah yang signifikan pada lansia dengan Diabetes Mellitus (DM) tipe 2. Analisis intra-kelompok menggunakan uji Wilcoxon menunjukkan penurunan yang bermakna pada kelompok senam kaki dan akupresur, sedangkan analisis antar kelompok menggunakan uji Mann–Whitney menunjukkan bahwa penurunan kadar gula darah pada kelompok senam kaki lebih besar dibandingkan kelompok akupresur. Secara deskriptif, kelompok senam kaki mengalami penurunan rata-rata sebesar 42,31 mg/dL, sedangkan kelompok akupresur hanya mengalami penurunan sebesar 3,87 mg/dL. Perbedaan ini menunjukkan bahwa meskipun kedua intervensi efektif, senam kaki memberikan dampak yang lebih kuat dan relevan secara klinis.</w:t>
      </w:r>
    </w:p>
    <w:p w14:paraId="32960889" w14:textId="24400DB2" w:rsidR="00933B78" w:rsidRDefault="001938A1" w:rsidP="001938A1">
      <w:pPr>
        <w:pStyle w:val="BodyText"/>
        <w:spacing w:before="7"/>
        <w:ind w:firstLine="426"/>
        <w:jc w:val="both"/>
      </w:pPr>
      <w:r>
        <w:t xml:space="preserve">Penurunan kadar gula darah lebih dari 40 mg/dL pada kelompok senam kaki memiliki implikasi klinis yang penting, mengingat hiperglikemia kronis merupakan faktor utama risiko terjadinya komplikasi mikrovaskular dan makrovaskular pada penderita DM tipe 2. Temuan ini sejalan dengan penelitian  </w:t>
      </w:r>
      <w:r>
        <w:fldChar w:fldCharType="begin" w:fldLock="1"/>
      </w:r>
      <w:r>
        <w:instrText>ADDIN CSL_CITATION {"citationItems":[{"id":"ITEM-1","itemData":{"DOI":"10.2337/dci22-0034","ISSN":"0149-5992","abstract":"The American Diabetes Association and the European Association for the Study of Diabetes convened a panel to update the previous consensus statements on the management of hyperglycemia in type 2 diabetes in adults, published since 2006 and last updated in 2019. The target audience is the full spectrum of the professional health care team providing diabetes care in the U.S. and Europe. A systematic examination of publications since 2018 informed new recommendations. These include additional focus on social determinants of health, the health care system, and physical activity behaviors, including sleep. There is a greater emphasis on weight management as part of the holistic approach to diabetes management. The results of cardiovascular and kidney outcomes trials involving sodium–glucose cotransporter 2 inhibitors and glucagon-like peptide 1 receptor agonists, including assessment of subgroups, inform broader recommendations for cardiorenal protection in people with diabetes at high risk of cardiorenal disease. After a summary listing of consensus recommendations, practical tips for implementation are provided.","author":[{"dropping-particle":"","family":"Davies","given":"Melanie J","non-dropping-particle":"","parse-names":false,"suffix":""},{"dropping-particle":"","family":"Aroda","given":"Vanita R","non-dropping-particle":"","parse-names":false,"suffix":""},{"dropping-particle":"","family":"Collins","given":"Billy S","non-dropping-particle":"","parse-names":false,"suffix":""},{"dropping-particle":"","family":"Gabbay","given":"Robert A","non-dropping-particle":"","parse-names":false,"suffix":""},{"dropping-particle":"","family":"Green","given":"Jennifer","non-dropping-particle":"","parse-names":false,"suffix":""},{"dropping-particle":"","family":"Maruthur","given":"Nisa M","non-dropping-particle":"","parse-names":false,"suffix":""},{"dropping-particle":"","family":"Rosas","given":"Sylvia E","non-dropping-particle":"","parse-names":false,"suffix":""},{"dropping-particle":"","family":"Prato","given":"Stefano","non-dropping-particle":"Del","parse-names":false,"suffix":""},{"dropping-particle":"","family":"Mathieu","given":"Chantal","non-dropping-particle":"","parse-names":false,"suffix":""},{"dropping-particle":"","family":"Mingrone","given":"Geltrude","non-dropping-particle":"","parse-names":false,"suffix":""},{"dropping-particle":"","family":"Rossing","given":"Peter","non-dropping-particle":"","parse-names":false,"suffix":""},{"dropping-particle":"","family":"Tankova","given":"Tsvetalina","non-dropping-particle":"","parse-names":false,"suffix":""},{"dropping-particle":"","family":"Tsapas","given":"Apostolos","non-dropping-particle":"","parse-names":false,"suffix":""},{"dropping-particle":"","family":"Buse","given":"John B","non-dropping-particle":"","parse-names":false,"suffix":""}],"container-title":"Diabetes Care","id":"ITEM-1","issue":"11","issued":{"date-parts":[["2022","9","28"]]},"page":"2753-2786","title":"Management of Hyperglycemia in Type 2 Diabetes, 2022. A Consensus Report by the American Diabetes Association (ADA) and the European Association for the Study of Diabetes (EASD)","type":"article-journal","volume":"45"},"uris":["http://www.mendeley.com/documents/?uuid=2d79ad09-08a0-41e0-9abd-de2bb55f79a2"]}],"mendeley":{"formattedCitation":"(Davies et al., 2022)","manualFormatting":"Davies et al., (2022)","plainTextFormattedCitation":"(Davies et al., 2022)","previouslyFormattedCitation":"(Davies et al., 2022)"},"properties":{"noteIndex":0},"schema":"https://github.com/citation-style-language/schema/raw/master/csl-citation.json"}</w:instrText>
      </w:r>
      <w:r>
        <w:fldChar w:fldCharType="separate"/>
      </w:r>
      <w:r w:rsidRPr="001938A1">
        <w:rPr>
          <w:noProof/>
        </w:rPr>
        <w:t xml:space="preserve">Davies et al., </w:t>
      </w:r>
      <w:r>
        <w:rPr>
          <w:noProof/>
        </w:rPr>
        <w:t>(</w:t>
      </w:r>
      <w:r w:rsidRPr="001938A1">
        <w:rPr>
          <w:noProof/>
        </w:rPr>
        <w:t>2022)</w:t>
      </w:r>
      <w:r>
        <w:fldChar w:fldCharType="end"/>
      </w:r>
      <w:r>
        <w:t xml:space="preserve"> yang melaporkan bahwa senam kaki diabetes secara signifikan menurunkan kadar </w:t>
      </w:r>
      <w:r>
        <w:lastRenderedPageBreak/>
        <w:t xml:space="preserve">glukosa darah pada pasien DM tipe 2. Aktivitas fisik terstruktur diketahui meningkatkan sensitivitas insulin dan meningkatkan pengambilan glukosa oleh otot rangka, sehingga memberikan efek langsung terhadap penurunan kadar gula darah </w:t>
      </w:r>
      <w:r w:rsidR="005155C5">
        <w:fldChar w:fldCharType="begin" w:fldLock="1"/>
      </w:r>
      <w:r w:rsidR="005155C5">
        <w:instrText>ADDIN CSL_CITATION {"citationItems":[{"id":"ITEM-1","itemData":{"DOI":"10.1016/j.diabres.2024.111982","ISSN":"0168-8227","author":[{"dropping-particle":"","family":"Tonga","given":"Eda","non-dropping-particle":"","parse-names":false,"suffix":""},{"dropping-particle":"","family":"Worboys","given":"Hannah","non-dropping-particle":"","parse-names":false,"suffix":""},{"dropping-particle":"","family":"Evans","given":"Rachael A","non-dropping-particle":"","parse-names":false,"suffix":""},{"dropping-particle":"","family":"Singh","given":"Sally J","non-dropping-particle":"","parse-names":false,"suffix":""},{"dropping-particle":"","family":"Davies","given":"Melanie J","non-dropping-particle":"","parse-names":false,"suffix":""},{"dropping-particle":"","family":"Andre Ng","given":"G","non-dropping-particle":"","parse-names":false,"suffix":""},{"dropping-particle":"","family":"Yates","given":"Thomas","non-dropping-particle":"","parse-names":false,"suffix":""}],"container-title":"Diabetes Research and Clinical Practice","id":"ITEM-1","issued":{"date-parts":[["2025","2","1"]]},"note":"doi: 10.1016/j.diabres.2024.111982","publisher":"Elsevier","title":"Physical activity guidelines for adults with type 2 Diabetes: Systematic review","type":"article-journal","volume":"220"},"uris":["http://www.mendeley.com/documents/?uuid=b99c9947-b4f5-4c69-abb7-9645982df4ff"]}],"mendeley":{"formattedCitation":"(Tonga et al., 2025)","plainTextFormattedCitation":"(Tonga et al., 2025)","previouslyFormattedCitation":"(Tonga et al., 2025)"},"properties":{"noteIndex":0},"schema":"https://github.com/citation-style-language/schema/raw/master/csl-citation.json"}</w:instrText>
      </w:r>
      <w:r w:rsidR="005155C5">
        <w:fldChar w:fldCharType="separate"/>
      </w:r>
      <w:r w:rsidR="005155C5" w:rsidRPr="005155C5">
        <w:rPr>
          <w:noProof/>
        </w:rPr>
        <w:t>(Tonga et al., 2025)</w:t>
      </w:r>
      <w:r w:rsidR="005155C5">
        <w:fldChar w:fldCharType="end"/>
      </w:r>
    </w:p>
    <w:p w14:paraId="1188D1BE" w14:textId="255289D1" w:rsidR="005155C5" w:rsidRDefault="005155C5" w:rsidP="005155C5">
      <w:pPr>
        <w:pStyle w:val="BodyText"/>
        <w:spacing w:before="7"/>
        <w:ind w:firstLine="426"/>
        <w:jc w:val="both"/>
      </w:pPr>
      <w:r>
        <w:t xml:space="preserve">Sebaliknya, meskipun akupresur menunjukkan penurunan kadar gula darah yang signifikan secara statistik, besarnya efek yang dihasilkan relatif kecil. Hal ini menunjukkan bahwa signifikansi statistik tidak selalu sejalan dengan signifikansi klinis. Penurunan yang minimal pada kelompok akupresur dalam penelitian ini kemungkinan dipengaruhi oleh dosis terapi, durasi intervensi yang relatif singkat, serta karakteristik lansia institusional yang memiliki keterbatasan aktivitas fisik. Akupresur dapat menurunkan kadar gula darah pada pasien DM tipe 2, namun efeknya cenderung moderat dan bersifat gradual, sehingga lebih tepat digunakan sebagai terapi komplementer </w:t>
      </w:r>
      <w:r>
        <w:fldChar w:fldCharType="begin" w:fldLock="1"/>
      </w:r>
      <w:r>
        <w:instrText>ADDIN CSL_CITATION {"citationItems":[{"id":"ITEM-1","itemData":{"author":[{"dropping-particle":"","family":"Rosyida","given":"Muslihatin Khuril","non-dropping-particle":"","parse-names":false,"suffix":""},{"dropping-particle":"","family":"Tamtomo","given":"Didik","non-dropping-particle":"","parse-names":false,"suffix":""},{"dropping-particle":"","family":"Prasetya","given":"Hanung","non-dropping-particle":"","parse-names":false,"suffix":""}],"container-title":"Indonesian Journal of Medicine","id":"ITEM-1","issued":{"date-parts":[["2023"]]},"page":"68-78","title":"Effect of Acupressure on Blood Glucose Level in Diabetes Mellitus Patients : Meta-Analysis","type":"article-journal","volume":"08"},"uris":["http://www.mendeley.com/documents/?uuid=80685534-7cb7-4c43-9b1a-0b6e90275c50"]},{"id":"ITEM-2","itemData":{"author":[{"dropping-particle":"","family":"Jumari","given":"","non-dropping-particle":"","parse-names":false,"suffix":""},{"dropping-particle":"","family":"Waluyo","given":"Agung","non-dropping-particle":"","parse-names":false,"suffix":""},{"dropping-particle":"","family":"Jumaiyah","given":"Wati","non-dropping-particle":"","parse-names":false,"suffix":""},{"dropping-particle":"","family":"Natashia","given":"Dhea","non-dropping-particle":"","parse-names":false,"suffix":""}],"container-title":"Journal of Telenursing (JOTING)","id":"ITEM-2","issued":{"date-parts":[["2019"]]},"page":"38-50","title":"PENGARUH AKUPRESUR TERHADAP KADAR GLUKOSA DARAH PASIEN DIABETES MELITUS TIPE 2","type":"article-journal","volume":"1"},"uris":["http://www.mendeley.com/documents/?uuid=69290d44-31e1-41ab-b1fd-48edb32e8365"]}],"mendeley":{"formattedCitation":"(Jumari et al., 2019; Rosyida et al., 2023)","plainTextFormattedCitation":"(Jumari et al., 2019; Rosyida et al., 2023)","previouslyFormattedCitation":"(Jumari et al., 2019; Rosyida et al., 2023)"},"properties":{"noteIndex":0},"schema":"https://github.com/citation-style-language/schema/raw/master/csl-citation.json"}</w:instrText>
      </w:r>
      <w:r>
        <w:fldChar w:fldCharType="separate"/>
      </w:r>
      <w:r w:rsidRPr="005155C5">
        <w:rPr>
          <w:noProof/>
        </w:rPr>
        <w:t>(Jumari et al., 2019; Rosyida et al., 2023)</w:t>
      </w:r>
      <w:r>
        <w:fldChar w:fldCharType="end"/>
      </w:r>
      <w:r>
        <w:t>.</w:t>
      </w:r>
    </w:p>
    <w:p w14:paraId="551EA8A6" w14:textId="22877EC6" w:rsidR="001938A1" w:rsidRDefault="005155C5" w:rsidP="005155C5">
      <w:pPr>
        <w:pStyle w:val="BodyText"/>
        <w:spacing w:before="7"/>
        <w:ind w:firstLine="426"/>
        <w:jc w:val="both"/>
      </w:pPr>
      <w:r>
        <w:t xml:space="preserve">Perbedaan efektivitas antara kedua intervensi ini dapat dijelaskan melalui mekanisme fisiologis yang berbeda. Senam kaki bekerja melalui mekanisme perifer dengan meningkatkan kontraksi otot, aliran darah, dan pemanfaatan glukosa oleh jaringan otot, yang secara langsung berkontribusi terhadap penurunan kadar gula darah. Literatur terkini menunjukkan bahwa aktivitas fisik intensitas ringan hingga sedang pada lansia mampu memperbaiki kontrol glikemik melalui peningkatan translokasi GLUT-4 dan sensitivitas insulin </w:t>
      </w:r>
      <w:r>
        <w:fldChar w:fldCharType="begin" w:fldLock="1"/>
      </w:r>
      <w:r>
        <w:instrText>ADDIN CSL_CITATION {"citationItems":[{"id":"ITEM-1","itemData":{"DOI":"10.1016/j.diabres.2024.111982","ISSN":"0168-8227","author":[{"dropping-particle":"","family":"Tonga","given":"Eda","non-dropping-particle":"","parse-names":false,"suffix":""},{"dropping-particle":"","family":"Worboys","given":"Hannah","non-dropping-particle":"","parse-names":false,"suffix":""},{"dropping-particle":"","family":"Evans","given":"Rachael A","non-dropping-particle":"","parse-names":false,"suffix":""},{"dropping-particle":"","family":"Singh","given":"Sally J","non-dropping-particle":"","parse-names":false,"suffix":""},{"dropping-particle":"","family":"Davies","given":"Melanie J","non-dropping-particle":"","parse-names":false,"suffix":""},{"dropping-particle":"","family":"Andre Ng","given":"G","non-dropping-particle":"","parse-names":false,"suffix":""},{"dropping-particle":"","family":"Yates","given":"Thomas","non-dropping-particle":"","parse-names":false,"suffix":""}],"container-title":"Diabetes Research and Clinical Practice","id":"ITEM-1","issued":{"date-parts":[["2025","2","1"]]},"note":"doi: 10.1016/j.diabres.2024.111982","publisher":"Elsevier","title":"Physical activity guidelines for adults with type 2 Diabetes: Systematic review","type":"article-journal","volume":"220"},"uris":["http://www.mendeley.com/documents/?uuid=b99c9947-b4f5-4c69-abb7-9645982df4ff"]}],"mendeley":{"formattedCitation":"(Tonga et al., 2025)","plainTextFormattedCitation":"(Tonga et al., 2025)"},"properties":{"noteIndex":0},"schema":"https://github.com/citation-style-language/schema/raw/master/csl-citation.json"}</w:instrText>
      </w:r>
      <w:r>
        <w:fldChar w:fldCharType="separate"/>
      </w:r>
      <w:r w:rsidRPr="005155C5">
        <w:rPr>
          <w:noProof/>
        </w:rPr>
        <w:t>(Tonga et al., 2025)</w:t>
      </w:r>
      <w:r>
        <w:fldChar w:fldCharType="end"/>
      </w:r>
      <w:r>
        <w:t xml:space="preserve">. Sebaliknya, akupresur bekerja melalui mekanisme neuroendokrin dengan stimulasi sistem saraf pusat </w:t>
      </w:r>
      <w:r>
        <w:lastRenderedPageBreak/>
        <w:t>dan hipotalamus, yang berpengaruh terhadap regulasi hormon metabolik, namun efeknya terhadap metabolisme glukosa bersifat tidak langsung dan memerlukan durasi terapi yang lebih panjang untuk menghasilkan perubahan yang bermakna secara klinis (Zhou et al., 2021).</w:t>
      </w:r>
    </w:p>
    <w:p w14:paraId="63C37A20" w14:textId="77777777" w:rsidR="003272CD" w:rsidRDefault="003272CD" w:rsidP="003272CD">
      <w:pPr>
        <w:pStyle w:val="BodyText"/>
        <w:spacing w:before="7"/>
        <w:ind w:firstLine="426"/>
        <w:jc w:val="both"/>
      </w:pPr>
      <w:r>
        <w:t>Selain itu, hasil penelitian ini perlu dipahami dalam konteks adanya faktor perancu yang tidak sepenuhnya dapat dikontrol, seperti penggunaan obat antidiabetes oral, pola makan harian, aktivitas fisik di luar intervensi, serta tingkat kepatuhan responden selama penelitian. Faktor-faktor tersebut berpotensi memengaruhi kadar gula darah dan membatasi kekuatan inferensi kausal dari hasil penelitian. Meskipun upaya telah dilakukan untuk menjaga konsistensi selama periode intervensi, variabilitas perilaku lansia tetap menjadi tantangan dalam penelitian berbasis institusi dan komunitas.</w:t>
      </w:r>
    </w:p>
    <w:p w14:paraId="6179CBBB" w14:textId="414C5DC5" w:rsidR="001938A1" w:rsidRDefault="003272CD" w:rsidP="003272CD">
      <w:pPr>
        <w:pStyle w:val="BodyText"/>
        <w:spacing w:before="7"/>
        <w:ind w:firstLine="426"/>
        <w:jc w:val="both"/>
      </w:pPr>
      <w:r>
        <w:t xml:space="preserve">Dari aspek generalisasi, hasil penelitian ini diperoleh dari lansia yang tinggal di PRSLU Karawang, yaitu lansia institusional dengan karakteristik khusus seperti aktivitas fisik terbatas dan pola hidup terstruktur. Oleh karena itu, temuan ini perlu ditafsirkan secara hati-hati apabila akan digeneralisasikan ke lansia komunitas yang memiliki tingkat kemandirian, aktivitas fisik, dan dukungan sosial yang berbeda. Literatur menunjukkan bahwa konteks lingkungan dan budaya dapat memengaruhi efektivitas serta keberlanjutan intervensi nonfarmakologis pada lansia </w:t>
      </w:r>
      <w:r>
        <w:fldChar w:fldCharType="begin" w:fldLock="1"/>
      </w:r>
      <w:r>
        <w:instrText>ADDIN CSL_CITATION {"citationItems":[{"id":"ITEM-1","itemData":{"DOI":"10.1016/j.diabres.2024.111982","ISSN":"0168-8227","author":[{"dropping-particle":"","family":"Tonga","given":"Eda","non-dropping-particle":"","parse-names":false,"suffix":""},{"dropping-particle":"","family":"Worboys","given":"Hannah","non-dropping-particle":"","parse-names":false,"suffix":""},{"dropping-particle":"","family":"Evans","given":"Rachael A","non-dropping-particle":"","parse-names":false,"suffix":""},{"dropping-particle":"","family":"Singh","given":"Sally J","non-dropping-particle":"","parse-names":false,"suffix":""},{"dropping-particle":"","family":"Davies","given":"Melanie J","non-dropping-particle":"","parse-names":false,"suffix":""},{"dropping-particle":"","family":"Andre Ng","given":"G","non-dropping-particle":"","parse-names":false,"suffix":""},{"dropping-particle":"","family":"Yates","given":"Thomas","non-dropping-particle":"","parse-names":false,"suffix":""}],"container-title":"Diabetes Research and Clinical Practice","id":"ITEM-1","issued":{"date-parts":[["2025","2","1"]]},"note":"doi: 10.1016/j.diabres.2024.111982","publisher":"Elsevier","title":"Physical activity guidelines for adults with type 2 Diabetes: Systematic review","type":"article-journal","volume":"220"},"uris":["http://www.mendeley.com/documents/?uuid=b99c9947-b4f5-4c69-abb7-9645982df4ff"]}],"mendeley":{"formattedCitation":"(Tonga et al., 2025)","plainTextFormattedCitation":"(Tonga et al., 2025)","previouslyFormattedCitation":"(Tonga et al., 2025)"},"properties":{"noteIndex":0},"schema":"https://github.com/citation-style-language/schema/raw/master/csl-citation.json"}</w:instrText>
      </w:r>
      <w:r>
        <w:fldChar w:fldCharType="separate"/>
      </w:r>
      <w:r w:rsidRPr="001938A1">
        <w:rPr>
          <w:noProof/>
        </w:rPr>
        <w:t>(Tonga et al., 2025)</w:t>
      </w:r>
      <w:r>
        <w:fldChar w:fldCharType="end"/>
      </w:r>
      <w:r w:rsidRPr="00EC279B">
        <w:t>.</w:t>
      </w:r>
    </w:p>
    <w:p w14:paraId="782F518A" w14:textId="77777777" w:rsidR="003272CD" w:rsidRDefault="003272CD" w:rsidP="003272CD">
      <w:pPr>
        <w:pStyle w:val="BodyText"/>
        <w:spacing w:before="7"/>
        <w:ind w:firstLine="426"/>
        <w:jc w:val="both"/>
      </w:pPr>
      <w:r>
        <w:t>Secara keseluruhan, penelitian ini memperkuat bukti bahwa senam kaki merupakan intervensi nonfarmakologis yang lebih efektif dan bermakna secara klinis dibandingkan akupresur dalam menurunkan kadar gula darah pada lansia dengan DM tipe 2. Akupresur tetap memiliki nilai sebagai terapi komplementer, khususnya bagi lansia dengan keterbatasan mobilitas, namun tidak dapat menggantikan peran aktivitas fisik sebagai intervensi utama dalam pengendalian glikemik.</w:t>
      </w:r>
    </w:p>
    <w:p w14:paraId="325F7581" w14:textId="77777777" w:rsidR="003272CD" w:rsidRDefault="003272CD" w:rsidP="003272CD">
      <w:pPr>
        <w:pStyle w:val="BodyText"/>
        <w:spacing w:before="7"/>
        <w:ind w:firstLine="426"/>
        <w:jc w:val="both"/>
      </w:pPr>
      <w:r>
        <w:t>Penelitian ini memiliki beberapa keterbatasan, antara lain desain quasi-experimental tanpa randomisasi yang berpotensi menimbulkan bias seleksi, ukuran sampel yang relatif kecil, durasi intervensi yang singkat tanpa follow-up jangka panjang, serta tidak dilakukannya pengukuran indikator kontrol glikemik jangka panjang seperti HbA1c. Keterbatasan ini perlu dipertimbangkan dalam interpretasi hasil penelitian.</w:t>
      </w:r>
    </w:p>
    <w:p w14:paraId="420BC2FA" w14:textId="0ECC74E2" w:rsidR="001938A1" w:rsidRDefault="003272CD" w:rsidP="003272CD">
      <w:pPr>
        <w:pStyle w:val="BodyText"/>
        <w:spacing w:before="7"/>
        <w:ind w:firstLine="426"/>
        <w:jc w:val="both"/>
      </w:pPr>
      <w:r>
        <w:t xml:space="preserve">Meskipun demikian, hasil penelitian ini memiliki implikasi praktis yang penting bagi praktik keperawatan. Senam kaki dapat direkomendasikan sebagai intervensi nonfarmakologis utama yang mudah, murah, dan efektif untuk pengendalian kadar gula darah pada lansia dengan DM tipe 2, khususnya di lingkungan institusional. Akupresur dapat dimanfaatkan sebagai terapi pendukung untuk meningkatkan kenyamanan dan kesejahteraan lansia, sementara perawat memiliki peran strategis dalam mengintegrasikan kedua intervensi ini ke dalam program perawatan rutin dan edukasi manajemen </w:t>
      </w:r>
      <w:r>
        <w:lastRenderedPageBreak/>
        <w:t>mandiri diabetes.</w:t>
      </w:r>
    </w:p>
    <w:p w14:paraId="02D28884" w14:textId="77777777" w:rsidR="003272CD" w:rsidRDefault="003272CD" w:rsidP="003272CD">
      <w:pPr>
        <w:pStyle w:val="BodyText"/>
        <w:spacing w:before="7"/>
        <w:ind w:firstLine="426"/>
        <w:jc w:val="both"/>
      </w:pPr>
    </w:p>
    <w:p w14:paraId="407CC423" w14:textId="0F776859" w:rsidR="00D44C37" w:rsidRPr="00933B78" w:rsidRDefault="00E6267D" w:rsidP="00DE481C">
      <w:pPr>
        <w:pStyle w:val="BodyText"/>
        <w:spacing w:after="120"/>
        <w:jc w:val="both"/>
        <w:rPr>
          <w:b/>
          <w:bCs/>
        </w:rPr>
      </w:pPr>
      <w:r w:rsidRPr="00933B78">
        <w:rPr>
          <w:b/>
          <w:bCs/>
          <w:spacing w:val="-2"/>
        </w:rPr>
        <w:t>SIMPULAN</w:t>
      </w:r>
    </w:p>
    <w:p w14:paraId="3973453B" w14:textId="77777777" w:rsidR="003272CD" w:rsidRDefault="00933B78" w:rsidP="003272CD">
      <w:pPr>
        <w:pStyle w:val="BodyText"/>
        <w:spacing w:before="2"/>
        <w:jc w:val="both"/>
      </w:pPr>
      <w:r w:rsidRPr="00933B78">
        <w:t>Penelitian ini menyimpulkan bahwa senam kaki dan akupresur merupakan intervensi nonfarmakologis yang efektif dalam menurunkan kadar gula darah pada lansia dengan Diabetes Mellitus tipe 2; namun, berdasarkan analisis bivariat menggunakan uji Mann–Whitney, senam kaki menunjukkan efek penurunan yang lebih besar dan lebih bermakna secara klinis dibandingkan akupresur. Temuan ini menegaskan bahwa aktivitas fisik terstruktur seperti senam kaki memiliki peran penting dalam pengendalian glikemik pada lansia, khususnya di lingkungan institusional, sehingga direkomendasikan untuk diintegrasikan sebagai program rutin oleh perawat dan tenaga kesehatan di PRSLU maupun layanan kesehatan primer seperti puskesmas. Akupresur dapat digunakan sebagai terapi komplementer pendukung, terutama bagi lansia dengan keterbatasan mobilitas atau sebagai bagian dari pendekatan keperawatan holistik. Penelitian selanjutnya disarankan menggunakan desain randomized controlled trial (RCT) dengan ukuran sampel yang lebih besar, durasi intervensi yang lebih panjang, pengukuran indikator kontrol glikemik jangka panjang seperti HbA1c, serta eksplorasi efektivitas kombinasi senam kaki dan akupresur untuk memperkuat bukti ilmiah intervensi nonfarmakologis pada lansia dengan Diabetes Mellitus tipe 2.</w:t>
      </w:r>
    </w:p>
    <w:p w14:paraId="5C48F6BC" w14:textId="77777777" w:rsidR="003272CD" w:rsidRDefault="003272CD" w:rsidP="003272CD">
      <w:pPr>
        <w:pStyle w:val="BodyText"/>
        <w:spacing w:before="2"/>
        <w:jc w:val="both"/>
      </w:pPr>
    </w:p>
    <w:p w14:paraId="49492727" w14:textId="1633CCEA" w:rsidR="00D44C37" w:rsidRPr="003272CD" w:rsidRDefault="00E6267D" w:rsidP="003272CD">
      <w:pPr>
        <w:pStyle w:val="BodyText"/>
        <w:spacing w:before="2"/>
        <w:jc w:val="both"/>
        <w:rPr>
          <w:b/>
          <w:bCs/>
        </w:rPr>
      </w:pPr>
      <w:r w:rsidRPr="003272CD">
        <w:rPr>
          <w:b/>
          <w:bCs/>
        </w:rPr>
        <w:t>DAFTAR</w:t>
      </w:r>
      <w:r w:rsidRPr="003272CD">
        <w:rPr>
          <w:b/>
          <w:bCs/>
          <w:spacing w:val="-10"/>
        </w:rPr>
        <w:t xml:space="preserve"> </w:t>
      </w:r>
      <w:r w:rsidRPr="003272CD">
        <w:rPr>
          <w:b/>
          <w:bCs/>
          <w:spacing w:val="-2"/>
        </w:rPr>
        <w:t>PUSTAKA</w:t>
      </w:r>
    </w:p>
    <w:p w14:paraId="0463E723" w14:textId="77777777" w:rsidR="00D44C37" w:rsidRDefault="00D44C37">
      <w:pPr>
        <w:pStyle w:val="BodyText"/>
        <w:jc w:val="both"/>
      </w:pPr>
    </w:p>
    <w:p w14:paraId="413A228B" w14:textId="582E4274" w:rsidR="005155C5" w:rsidRPr="005155C5" w:rsidRDefault="001938A1" w:rsidP="00DE481C">
      <w:pPr>
        <w:adjustRightInd w:val="0"/>
        <w:ind w:left="480" w:hanging="480"/>
        <w:jc w:val="both"/>
        <w:rPr>
          <w:noProof/>
        </w:rPr>
      </w:pPr>
      <w:r>
        <w:fldChar w:fldCharType="begin" w:fldLock="1"/>
      </w:r>
      <w:r>
        <w:instrText xml:space="preserve">ADDIN Mendeley Bibliography CSL_BIBLIOGRAPHY </w:instrText>
      </w:r>
      <w:r>
        <w:fldChar w:fldCharType="separate"/>
      </w:r>
      <w:r w:rsidR="005155C5" w:rsidRPr="005155C5">
        <w:rPr>
          <w:noProof/>
        </w:rPr>
        <w:t xml:space="preserve">American Diabetes Association (ADA). (2024). Introduction and Methodology : Standards of Care in Diabetes — 2024. </w:t>
      </w:r>
      <w:r w:rsidR="005155C5" w:rsidRPr="005155C5">
        <w:rPr>
          <w:i/>
          <w:iCs/>
          <w:noProof/>
        </w:rPr>
        <w:t>Diabetes Care</w:t>
      </w:r>
      <w:r w:rsidR="005155C5" w:rsidRPr="005155C5">
        <w:rPr>
          <w:noProof/>
        </w:rPr>
        <w:t xml:space="preserve">, </w:t>
      </w:r>
      <w:r w:rsidR="005155C5" w:rsidRPr="005155C5">
        <w:rPr>
          <w:i/>
          <w:iCs/>
          <w:noProof/>
        </w:rPr>
        <w:t>47</w:t>
      </w:r>
      <w:r w:rsidR="005155C5" w:rsidRPr="005155C5">
        <w:rPr>
          <w:noProof/>
        </w:rPr>
        <w:t>(January), 1–4.</w:t>
      </w:r>
    </w:p>
    <w:p w14:paraId="6E4BFEA1" w14:textId="77777777" w:rsidR="005155C5" w:rsidRPr="005155C5" w:rsidRDefault="005155C5" w:rsidP="00DE481C">
      <w:pPr>
        <w:adjustRightInd w:val="0"/>
        <w:ind w:left="480" w:hanging="480"/>
        <w:jc w:val="both"/>
        <w:rPr>
          <w:noProof/>
        </w:rPr>
      </w:pPr>
      <w:r w:rsidRPr="005155C5">
        <w:rPr>
          <w:noProof/>
        </w:rPr>
        <w:t xml:space="preserve">Davies, M. J., Aroda, V. R., Collins, B. S., Gabbay, R. A., Green, J., Maruthur, N. M., Rosas, S. E., Del Prato, S., Mathieu, C., Mingrone, G., Rossing, P., Tankova, T., Tsapas, A., &amp; Buse, J. B. (2022). Management of Hyperglycemia in Type 2 Diabetes, 2022. A Consensus Report by the American Diabetes Association (ADA) and the European Association for the Study of Diabetes (EASD). </w:t>
      </w:r>
      <w:r w:rsidRPr="005155C5">
        <w:rPr>
          <w:i/>
          <w:iCs/>
          <w:noProof/>
        </w:rPr>
        <w:t>Diabetes Care</w:t>
      </w:r>
      <w:r w:rsidRPr="005155C5">
        <w:rPr>
          <w:noProof/>
        </w:rPr>
        <w:t xml:space="preserve">, </w:t>
      </w:r>
      <w:r w:rsidRPr="005155C5">
        <w:rPr>
          <w:i/>
          <w:iCs/>
          <w:noProof/>
        </w:rPr>
        <w:t>45</w:t>
      </w:r>
      <w:r w:rsidRPr="005155C5">
        <w:rPr>
          <w:noProof/>
        </w:rPr>
        <w:t>(11), 2753–2786. https://doi.org/10.2337/dci22-0034</w:t>
      </w:r>
    </w:p>
    <w:p w14:paraId="74745D9F" w14:textId="77777777" w:rsidR="005155C5" w:rsidRPr="005155C5" w:rsidRDefault="005155C5" w:rsidP="00DE481C">
      <w:pPr>
        <w:adjustRightInd w:val="0"/>
        <w:ind w:left="480" w:hanging="480"/>
        <w:jc w:val="both"/>
        <w:rPr>
          <w:noProof/>
        </w:rPr>
      </w:pPr>
      <w:r w:rsidRPr="005155C5">
        <w:rPr>
          <w:noProof/>
        </w:rPr>
        <w:t xml:space="preserve">Hager, K., Shi, P., Li, Z., Chui, K., Berkowitz, S. A., Mozaffarian, D., Chhabra, J., Wilken, J., Vergara, C., Becker, E., Small, S., Ling, B., Cash, S. B., Folta, S. C., &amp; Zhang, F. F. (2023). Evaluation of a Produce Prescription Program for Patients With Diabetes: A Longitudinal Analysis of Glycemic Control. </w:t>
      </w:r>
      <w:r w:rsidRPr="005155C5">
        <w:rPr>
          <w:i/>
          <w:iCs/>
          <w:noProof/>
        </w:rPr>
        <w:t>Diabetes Care</w:t>
      </w:r>
      <w:r w:rsidRPr="005155C5">
        <w:rPr>
          <w:noProof/>
        </w:rPr>
        <w:t xml:space="preserve">, </w:t>
      </w:r>
      <w:r w:rsidRPr="005155C5">
        <w:rPr>
          <w:i/>
          <w:iCs/>
          <w:noProof/>
        </w:rPr>
        <w:t>46</w:t>
      </w:r>
      <w:r w:rsidRPr="005155C5">
        <w:rPr>
          <w:noProof/>
        </w:rPr>
        <w:t>(6), 1169–1176. https://doi.org/10.2337/dc22-1645</w:t>
      </w:r>
    </w:p>
    <w:p w14:paraId="2F3895C6" w14:textId="77777777" w:rsidR="005155C5" w:rsidRPr="005155C5" w:rsidRDefault="005155C5" w:rsidP="00DE481C">
      <w:pPr>
        <w:adjustRightInd w:val="0"/>
        <w:ind w:left="480" w:hanging="480"/>
        <w:jc w:val="both"/>
        <w:rPr>
          <w:noProof/>
        </w:rPr>
      </w:pPr>
      <w:r w:rsidRPr="005155C5">
        <w:rPr>
          <w:noProof/>
        </w:rPr>
        <w:t xml:space="preserve">International Diabetes Federation (IDF). (2025). </w:t>
      </w:r>
      <w:r w:rsidRPr="005155C5">
        <w:rPr>
          <w:i/>
          <w:iCs/>
          <w:noProof/>
        </w:rPr>
        <w:t>IDF Diabetes Atlas</w:t>
      </w:r>
      <w:r w:rsidRPr="005155C5">
        <w:rPr>
          <w:noProof/>
        </w:rPr>
        <w:t xml:space="preserve"> (11th ed.). NCBI Bookshelf. https://www.ncbi.nlm.nih.gov/books/NBK581934/</w:t>
      </w:r>
    </w:p>
    <w:p w14:paraId="28D68DE5" w14:textId="77777777" w:rsidR="005155C5" w:rsidRPr="005155C5" w:rsidRDefault="005155C5" w:rsidP="00DE481C">
      <w:pPr>
        <w:adjustRightInd w:val="0"/>
        <w:ind w:left="480" w:hanging="480"/>
        <w:jc w:val="both"/>
        <w:rPr>
          <w:noProof/>
        </w:rPr>
      </w:pPr>
      <w:r w:rsidRPr="005155C5">
        <w:rPr>
          <w:noProof/>
        </w:rPr>
        <w:lastRenderedPageBreak/>
        <w:t xml:space="preserve">Jumari, Waluyo, A., Jumaiyah, W., &amp; Natashia, D. (2019). PENGARUH AKUPRESUR TERHADAP KADAR GLUKOSA DARAH PASIEN DIABETES MELITUS TIPE 2. </w:t>
      </w:r>
      <w:r w:rsidRPr="005155C5">
        <w:rPr>
          <w:i/>
          <w:iCs/>
          <w:noProof/>
        </w:rPr>
        <w:t>Journal of Telenursing (JOTING)</w:t>
      </w:r>
      <w:r w:rsidRPr="005155C5">
        <w:rPr>
          <w:noProof/>
        </w:rPr>
        <w:t xml:space="preserve">, </w:t>
      </w:r>
      <w:r w:rsidRPr="005155C5">
        <w:rPr>
          <w:i/>
          <w:iCs/>
          <w:noProof/>
        </w:rPr>
        <w:t>1</w:t>
      </w:r>
      <w:r w:rsidRPr="005155C5">
        <w:rPr>
          <w:noProof/>
        </w:rPr>
        <w:t>, 38–50.</w:t>
      </w:r>
    </w:p>
    <w:p w14:paraId="4A0E502D" w14:textId="77777777" w:rsidR="005155C5" w:rsidRPr="005155C5" w:rsidRDefault="005155C5" w:rsidP="00DE481C">
      <w:pPr>
        <w:adjustRightInd w:val="0"/>
        <w:ind w:left="480" w:hanging="480"/>
        <w:jc w:val="both"/>
        <w:rPr>
          <w:noProof/>
        </w:rPr>
      </w:pPr>
      <w:r w:rsidRPr="005155C5">
        <w:rPr>
          <w:noProof/>
        </w:rPr>
        <w:t xml:space="preserve">König, H.-H., Lehnert, T., Brenner, H., Schöttker, B., Quinzler, R., Haefeli, W. E., Matschinger, H., &amp; Heider, D. (2015). Health service use and costs associated with excess weight in older adults in Germany. </w:t>
      </w:r>
      <w:r w:rsidRPr="005155C5">
        <w:rPr>
          <w:i/>
          <w:iCs/>
          <w:noProof/>
        </w:rPr>
        <w:t>Age and Ageing</w:t>
      </w:r>
      <w:r w:rsidRPr="005155C5">
        <w:rPr>
          <w:noProof/>
        </w:rPr>
        <w:t xml:space="preserve">, </w:t>
      </w:r>
      <w:r w:rsidRPr="005155C5">
        <w:rPr>
          <w:i/>
          <w:iCs/>
          <w:noProof/>
        </w:rPr>
        <w:t>44</w:t>
      </w:r>
      <w:r w:rsidRPr="005155C5">
        <w:rPr>
          <w:noProof/>
        </w:rPr>
        <w:t>(4), 616–623. https://doi.org/10.1093/ageing/afu120</w:t>
      </w:r>
    </w:p>
    <w:p w14:paraId="22269ADA" w14:textId="77777777" w:rsidR="005155C5" w:rsidRPr="005155C5" w:rsidRDefault="005155C5" w:rsidP="00DE481C">
      <w:pPr>
        <w:adjustRightInd w:val="0"/>
        <w:ind w:left="480" w:hanging="480"/>
        <w:jc w:val="both"/>
        <w:rPr>
          <w:noProof/>
        </w:rPr>
      </w:pPr>
      <w:r w:rsidRPr="005155C5">
        <w:rPr>
          <w:noProof/>
        </w:rPr>
        <w:t xml:space="preserve">Ministry of Health of the Republic of Indonesia. (2018). Basic Health Research (Riskesdas) Report 2018. In </w:t>
      </w:r>
      <w:r w:rsidRPr="005155C5">
        <w:rPr>
          <w:i/>
          <w:iCs/>
          <w:noProof/>
        </w:rPr>
        <w:t>National Institute of Health Research and Development</w:t>
      </w:r>
      <w:r w:rsidRPr="005155C5">
        <w:rPr>
          <w:noProof/>
        </w:rPr>
        <w:t>.</w:t>
      </w:r>
    </w:p>
    <w:p w14:paraId="3E0F6221" w14:textId="77777777" w:rsidR="005155C5" w:rsidRPr="005155C5" w:rsidRDefault="005155C5" w:rsidP="00DE481C">
      <w:pPr>
        <w:adjustRightInd w:val="0"/>
        <w:ind w:left="480" w:hanging="480"/>
        <w:jc w:val="both"/>
        <w:rPr>
          <w:noProof/>
        </w:rPr>
      </w:pPr>
      <w:r w:rsidRPr="005155C5">
        <w:rPr>
          <w:noProof/>
        </w:rPr>
        <w:t xml:space="preserve">Rosyida, M. K., Tamtomo, D., &amp; Prasetya, H. (2023). Effect of Acupressure on Blood Glucose Level in Diabetes Mellitus Patients : Meta-Analysis. </w:t>
      </w:r>
      <w:r w:rsidRPr="005155C5">
        <w:rPr>
          <w:i/>
          <w:iCs/>
          <w:noProof/>
        </w:rPr>
        <w:t>Indonesian Journal of Medicine</w:t>
      </w:r>
      <w:r w:rsidRPr="005155C5">
        <w:rPr>
          <w:noProof/>
        </w:rPr>
        <w:t xml:space="preserve">, </w:t>
      </w:r>
      <w:r w:rsidRPr="005155C5">
        <w:rPr>
          <w:i/>
          <w:iCs/>
          <w:noProof/>
        </w:rPr>
        <w:t>08</w:t>
      </w:r>
      <w:r w:rsidRPr="005155C5">
        <w:rPr>
          <w:noProof/>
        </w:rPr>
        <w:t>, 68–78.</w:t>
      </w:r>
    </w:p>
    <w:p w14:paraId="6F346A05" w14:textId="77777777" w:rsidR="005155C5" w:rsidRPr="005155C5" w:rsidRDefault="005155C5" w:rsidP="00DE481C">
      <w:pPr>
        <w:adjustRightInd w:val="0"/>
        <w:ind w:left="480" w:hanging="480"/>
        <w:jc w:val="both"/>
        <w:rPr>
          <w:noProof/>
        </w:rPr>
      </w:pPr>
      <w:r w:rsidRPr="005155C5">
        <w:rPr>
          <w:noProof/>
        </w:rPr>
        <w:t xml:space="preserve">Salmani Mood, M., Yavari, Z., Bahrami Taghanaki, H., &amp; Mahmoudirad, G. (2021). The effect of acupressure on fasting blood glucose, glycosylated hemoglobin and stress in patients with type 2 diabetes. </w:t>
      </w:r>
      <w:r w:rsidRPr="005155C5">
        <w:rPr>
          <w:i/>
          <w:iCs/>
          <w:noProof/>
        </w:rPr>
        <w:t>Complementary Therapies in Clinical Practice</w:t>
      </w:r>
      <w:r w:rsidRPr="005155C5">
        <w:rPr>
          <w:noProof/>
        </w:rPr>
        <w:t xml:space="preserve">, </w:t>
      </w:r>
      <w:r w:rsidRPr="005155C5">
        <w:rPr>
          <w:i/>
          <w:iCs/>
          <w:noProof/>
        </w:rPr>
        <w:t>43</w:t>
      </w:r>
      <w:r w:rsidRPr="005155C5">
        <w:rPr>
          <w:noProof/>
        </w:rPr>
        <w:t>, 101393. https://doi.org/https://doi.org/10.1016/j.ctcp.2021.101393</w:t>
      </w:r>
    </w:p>
    <w:p w14:paraId="48D44072" w14:textId="77777777" w:rsidR="005155C5" w:rsidRPr="005155C5" w:rsidRDefault="005155C5" w:rsidP="00DE481C">
      <w:pPr>
        <w:adjustRightInd w:val="0"/>
        <w:ind w:left="480" w:hanging="480"/>
        <w:jc w:val="both"/>
        <w:rPr>
          <w:noProof/>
        </w:rPr>
      </w:pPr>
      <w:r w:rsidRPr="005155C5">
        <w:rPr>
          <w:noProof/>
        </w:rPr>
        <w:t xml:space="preserve">Sanford, A. M., Orrell, M., Tolson, D., Abbatecola, A. M., Arai, H., Bauer, J. M., Cruz-Jentoft, A. J., Dong, B., Ga, H., Goel, A., Hajjar, R., Holmerova, I., Katz, P. R., Koopmans, R. T. C. M., Rolland, Y., Visvanathan, R., Woo, J., </w:t>
      </w:r>
      <w:r w:rsidRPr="005155C5">
        <w:rPr>
          <w:noProof/>
        </w:rPr>
        <w:lastRenderedPageBreak/>
        <w:t xml:space="preserve">Morley, J. E., &amp; Vellas, B. (2015). An International Definition for &amp;#x201c;Nursing Home&amp;#x201d; </w:t>
      </w:r>
      <w:r w:rsidRPr="005155C5">
        <w:rPr>
          <w:i/>
          <w:iCs/>
          <w:noProof/>
        </w:rPr>
        <w:t>Journal of the American Medical Directors Association</w:t>
      </w:r>
      <w:r w:rsidRPr="005155C5">
        <w:rPr>
          <w:noProof/>
        </w:rPr>
        <w:t xml:space="preserve">, </w:t>
      </w:r>
      <w:r w:rsidRPr="005155C5">
        <w:rPr>
          <w:i/>
          <w:iCs/>
          <w:noProof/>
        </w:rPr>
        <w:t>16</w:t>
      </w:r>
      <w:r w:rsidRPr="005155C5">
        <w:rPr>
          <w:noProof/>
        </w:rPr>
        <w:t>(3), 181–184. https://doi.org/10.1016/j.jamda.2014.12.013</w:t>
      </w:r>
    </w:p>
    <w:p w14:paraId="11B92E5B" w14:textId="77777777" w:rsidR="005155C5" w:rsidRPr="005155C5" w:rsidRDefault="005155C5" w:rsidP="00DE481C">
      <w:pPr>
        <w:adjustRightInd w:val="0"/>
        <w:ind w:left="480" w:hanging="480"/>
        <w:jc w:val="both"/>
        <w:rPr>
          <w:noProof/>
        </w:rPr>
      </w:pPr>
      <w:r w:rsidRPr="005155C5">
        <w:rPr>
          <w:noProof/>
        </w:rPr>
        <w:t xml:space="preserve">Si, Y., Chen, J., Chen, L., Zheng, Y., Qiu, Y., Wang, B., Liang, Y., Zhang, Y., &amp; Chen, Y. (2025). The effect of acupuncture on blood glucose control in patients with type 2 diabetes: a systematic review and meta-analysis of randomized controlled trials. </w:t>
      </w:r>
      <w:r w:rsidRPr="005155C5">
        <w:rPr>
          <w:i/>
          <w:iCs/>
          <w:noProof/>
        </w:rPr>
        <w:t>Frontiers in Endocrinology</w:t>
      </w:r>
      <w:r w:rsidRPr="005155C5">
        <w:rPr>
          <w:noProof/>
        </w:rPr>
        <w:t xml:space="preserve">, </w:t>
      </w:r>
      <w:r w:rsidRPr="005155C5">
        <w:rPr>
          <w:i/>
          <w:iCs/>
          <w:noProof/>
        </w:rPr>
        <w:t>Volume 16</w:t>
      </w:r>
      <w:r w:rsidRPr="005155C5">
        <w:rPr>
          <w:noProof/>
        </w:rPr>
        <w:t>-</w:t>
      </w:r>
      <w:r w:rsidRPr="005155C5">
        <w:rPr>
          <w:i/>
          <w:iCs/>
          <w:noProof/>
        </w:rPr>
        <w:t>2025</w:t>
      </w:r>
      <w:r w:rsidRPr="005155C5">
        <w:rPr>
          <w:noProof/>
        </w:rPr>
        <w:t>. https://doi.org/10.3389/fendo.2025.1596062</w:t>
      </w:r>
    </w:p>
    <w:p w14:paraId="083423D7" w14:textId="77777777" w:rsidR="005155C5" w:rsidRPr="005155C5" w:rsidRDefault="005155C5" w:rsidP="00DE481C">
      <w:pPr>
        <w:adjustRightInd w:val="0"/>
        <w:ind w:left="480" w:hanging="480"/>
        <w:jc w:val="both"/>
        <w:rPr>
          <w:noProof/>
        </w:rPr>
      </w:pPr>
      <w:r w:rsidRPr="005155C5">
        <w:rPr>
          <w:noProof/>
        </w:rPr>
        <w:t xml:space="preserve">Tonga, E., Worboys, H., Evans, R. A., Singh, S. J., Davies, M. J., Andre Ng, G., &amp; Yates, T. (2025). Physical activity guidelines for adults with type 2 Diabetes: Systematic review. </w:t>
      </w:r>
      <w:r w:rsidRPr="005155C5">
        <w:rPr>
          <w:i/>
          <w:iCs/>
          <w:noProof/>
        </w:rPr>
        <w:t>Diabetes Research and Clinical Practice</w:t>
      </w:r>
      <w:r w:rsidRPr="005155C5">
        <w:rPr>
          <w:noProof/>
        </w:rPr>
        <w:t xml:space="preserve">, </w:t>
      </w:r>
      <w:r w:rsidRPr="005155C5">
        <w:rPr>
          <w:i/>
          <w:iCs/>
          <w:noProof/>
        </w:rPr>
        <w:t>220</w:t>
      </w:r>
      <w:r w:rsidRPr="005155C5">
        <w:rPr>
          <w:noProof/>
        </w:rPr>
        <w:t>. https://doi.org/10.1016/j.diabres.2024.111982</w:t>
      </w:r>
    </w:p>
    <w:p w14:paraId="534FAD38" w14:textId="77777777" w:rsidR="005155C5" w:rsidRPr="005155C5" w:rsidRDefault="005155C5" w:rsidP="00DE481C">
      <w:pPr>
        <w:adjustRightInd w:val="0"/>
        <w:ind w:left="480" w:hanging="480"/>
        <w:jc w:val="both"/>
        <w:rPr>
          <w:noProof/>
        </w:rPr>
      </w:pPr>
      <w:r w:rsidRPr="005155C5">
        <w:rPr>
          <w:noProof/>
        </w:rPr>
        <w:t xml:space="preserve">United Nations. (2022). </w:t>
      </w:r>
      <w:r w:rsidRPr="005155C5">
        <w:rPr>
          <w:i/>
          <w:iCs/>
          <w:noProof/>
        </w:rPr>
        <w:t>Asia-Pacific Report on Population Ageing 2022</w:t>
      </w:r>
      <w:r w:rsidRPr="005155C5">
        <w:rPr>
          <w:noProof/>
        </w:rPr>
        <w:t>.</w:t>
      </w:r>
    </w:p>
    <w:p w14:paraId="32B52D70" w14:textId="77777777" w:rsidR="005155C5" w:rsidRPr="005155C5" w:rsidRDefault="005155C5" w:rsidP="00DE481C">
      <w:pPr>
        <w:adjustRightInd w:val="0"/>
        <w:ind w:left="480" w:hanging="480"/>
        <w:jc w:val="both"/>
        <w:rPr>
          <w:noProof/>
        </w:rPr>
      </w:pPr>
      <w:r w:rsidRPr="005155C5">
        <w:rPr>
          <w:noProof/>
        </w:rPr>
        <w:t xml:space="preserve">World Helath Organization (WHO). (2024). </w:t>
      </w:r>
      <w:r w:rsidRPr="005155C5">
        <w:rPr>
          <w:i/>
          <w:iCs/>
          <w:noProof/>
        </w:rPr>
        <w:t>Diabetes</w:t>
      </w:r>
      <w:r w:rsidRPr="005155C5">
        <w:rPr>
          <w:noProof/>
        </w:rPr>
        <w:t>. https://www.who.int/news-room/fact-sheets/detail/diabetes</w:t>
      </w:r>
    </w:p>
    <w:p w14:paraId="6B9CF155" w14:textId="77777777" w:rsidR="005155C5" w:rsidRPr="005155C5" w:rsidRDefault="005155C5" w:rsidP="00DE481C">
      <w:pPr>
        <w:adjustRightInd w:val="0"/>
        <w:ind w:left="480" w:hanging="480"/>
        <w:jc w:val="both"/>
        <w:rPr>
          <w:noProof/>
        </w:rPr>
      </w:pPr>
      <w:r w:rsidRPr="005155C5">
        <w:rPr>
          <w:noProof/>
        </w:rPr>
        <w:t xml:space="preserve">World Helath Organization (WHO). (2025). </w:t>
      </w:r>
      <w:r w:rsidRPr="005155C5">
        <w:rPr>
          <w:i/>
          <w:iCs/>
          <w:noProof/>
        </w:rPr>
        <w:t>Ageing and health</w:t>
      </w:r>
      <w:r w:rsidRPr="005155C5">
        <w:rPr>
          <w:noProof/>
        </w:rPr>
        <w:t>. https://www.who.int/news-room/fact-sheets/detail/ageing-and-health</w:t>
      </w:r>
    </w:p>
    <w:p w14:paraId="7EE34D4D" w14:textId="77777777" w:rsidR="005155C5" w:rsidRPr="005155C5" w:rsidRDefault="005155C5" w:rsidP="00DE481C">
      <w:pPr>
        <w:adjustRightInd w:val="0"/>
        <w:ind w:left="480" w:hanging="480"/>
        <w:jc w:val="both"/>
        <w:rPr>
          <w:noProof/>
        </w:rPr>
      </w:pPr>
      <w:r w:rsidRPr="005155C5">
        <w:rPr>
          <w:noProof/>
        </w:rPr>
        <w:t xml:space="preserve">Zheng, Y., Ley, S. H., &amp; Hu, F. B. (2018). Global aetiology and epidemiology of type 2 diabetes mellitus and its complications. </w:t>
      </w:r>
      <w:r w:rsidRPr="005155C5">
        <w:rPr>
          <w:i/>
          <w:iCs/>
          <w:noProof/>
        </w:rPr>
        <w:t>Nature Reviews Endocrinology</w:t>
      </w:r>
      <w:r w:rsidRPr="005155C5">
        <w:rPr>
          <w:noProof/>
        </w:rPr>
        <w:t xml:space="preserve">, </w:t>
      </w:r>
      <w:r w:rsidRPr="005155C5">
        <w:rPr>
          <w:i/>
          <w:iCs/>
          <w:noProof/>
        </w:rPr>
        <w:t>14</w:t>
      </w:r>
      <w:r w:rsidRPr="005155C5">
        <w:rPr>
          <w:noProof/>
        </w:rPr>
        <w:t>(2), 88–98. https://doi.org/10.1038/nrendo.2017.151</w:t>
      </w:r>
    </w:p>
    <w:p w14:paraId="1DE6B354" w14:textId="77777777" w:rsidR="003272CD" w:rsidRDefault="001938A1" w:rsidP="00DE481C">
      <w:pPr>
        <w:pStyle w:val="BodyText"/>
        <w:ind w:left="799" w:right="5313" w:hanging="428"/>
        <w:jc w:val="both"/>
        <w:sectPr w:rsidR="003272CD" w:rsidSect="003272CD">
          <w:type w:val="continuous"/>
          <w:pgSz w:w="11910" w:h="18720"/>
          <w:pgMar w:top="1260" w:right="992" w:bottom="1220" w:left="708" w:header="896" w:footer="1031" w:gutter="0"/>
          <w:cols w:num="2" w:space="720"/>
        </w:sectPr>
      </w:pPr>
      <w:r>
        <w:fldChar w:fldCharType="end"/>
      </w:r>
    </w:p>
    <w:p w14:paraId="211DE030" w14:textId="6E77D14E" w:rsidR="00D44C37" w:rsidRDefault="00D44C37">
      <w:pPr>
        <w:pStyle w:val="BodyText"/>
        <w:ind w:left="799" w:right="5313" w:hanging="428"/>
        <w:jc w:val="both"/>
      </w:pPr>
    </w:p>
    <w:sectPr w:rsidR="00D44C37" w:rsidSect="003272CD">
      <w:type w:val="continuous"/>
      <w:pgSz w:w="11910" w:h="18720"/>
      <w:pgMar w:top="1260" w:right="992" w:bottom="1220" w:left="708" w:header="896"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B04BE" w14:textId="77777777" w:rsidR="003C32BF" w:rsidRDefault="003C32BF">
      <w:r>
        <w:separator/>
      </w:r>
    </w:p>
  </w:endnote>
  <w:endnote w:type="continuationSeparator" w:id="0">
    <w:p w14:paraId="6E77AB34" w14:textId="77777777" w:rsidR="003C32BF" w:rsidRDefault="003C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1A0BA" w14:textId="77777777" w:rsidR="00210E35" w:rsidRPr="006A035C" w:rsidRDefault="00210E35" w:rsidP="00210E35">
    <w:pPr>
      <w:pStyle w:val="Footer"/>
      <w:pBdr>
        <w:top w:val="thinThickSmallGap" w:sz="24" w:space="0"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5BCFF" w14:textId="77777777" w:rsidR="00210E35" w:rsidRPr="006A035C" w:rsidRDefault="00210E35" w:rsidP="00210E35">
    <w:pPr>
      <w:pStyle w:val="Footer"/>
      <w:pBdr>
        <w:top w:val="thinThickSmallGap" w:sz="24" w:space="0"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C558E" w14:textId="77777777" w:rsidR="003C32BF" w:rsidRDefault="003C32BF">
      <w:r>
        <w:separator/>
      </w:r>
    </w:p>
  </w:footnote>
  <w:footnote w:type="continuationSeparator" w:id="0">
    <w:p w14:paraId="6F2B258D" w14:textId="77777777" w:rsidR="003C32BF" w:rsidRDefault="003C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1CF3" w14:textId="1C2173A6" w:rsidR="00210E35" w:rsidRPr="00210E35" w:rsidRDefault="00210E35" w:rsidP="00210E35">
    <w:pPr>
      <w:pStyle w:val="Header"/>
      <w:rPr>
        <w:rFonts w:asciiTheme="minorHAnsi" w:hAnsiTheme="minorHAnsi" w:cstheme="minorHAnsi"/>
      </w:rPr>
    </w:pPr>
    <w:r w:rsidRPr="00210E35">
      <w:rPr>
        <w:rFonts w:asciiTheme="minorHAnsi" w:hAnsiTheme="minorHAnsi" w:cstheme="minorHAnsi"/>
      </w:rPr>
      <w:fldChar w:fldCharType="begin"/>
    </w:r>
    <w:r w:rsidRPr="00210E35">
      <w:rPr>
        <w:rFonts w:asciiTheme="minorHAnsi" w:hAnsiTheme="minorHAnsi" w:cstheme="minorHAnsi"/>
      </w:rPr>
      <w:instrText xml:space="preserve"> PAGE   \* MERGEFORMAT </w:instrText>
    </w:r>
    <w:r w:rsidRPr="00210E35">
      <w:rPr>
        <w:rFonts w:asciiTheme="minorHAnsi" w:hAnsiTheme="minorHAnsi" w:cstheme="minorHAnsi"/>
      </w:rPr>
      <w:fldChar w:fldCharType="separate"/>
    </w:r>
    <w:r w:rsidR="007121D0" w:rsidRPr="007121D0">
      <w:rPr>
        <w:rFonts w:asciiTheme="minorHAnsi" w:hAnsiTheme="minorHAnsi" w:cstheme="minorHAnsi"/>
        <w:bCs/>
        <w:noProof/>
      </w:rPr>
      <w:t>1753</w:t>
    </w:r>
    <w:r w:rsidRPr="00210E35">
      <w:rPr>
        <w:rFonts w:asciiTheme="minorHAnsi" w:hAnsiTheme="minorHAnsi" w:cstheme="minorHAnsi"/>
        <w:bCs/>
        <w:noProof/>
      </w:rPr>
      <w:fldChar w:fldCharType="end"/>
    </w:r>
    <w:r w:rsidRPr="00210E35">
      <w:rPr>
        <w:rFonts w:asciiTheme="minorHAnsi" w:hAnsiTheme="minorHAnsi" w:cstheme="minorHAnsi"/>
      </w:rPr>
      <w:t>| EFEKTIVITAS SENAM KAKI DAN AKUPRESUR TERHADAP KADAR GULA DARAH PADA LANSIA DENGAN DIABETES MELLITUS TIPE 2: STUDI QUASI-EKSPERIMEN DI PRSLU KARAWANG</w:t>
    </w:r>
  </w:p>
  <w:p w14:paraId="704F44B4" w14:textId="143F62AC" w:rsidR="00D44C37" w:rsidRPr="00210E35" w:rsidRDefault="00D44C37" w:rsidP="00210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7F55"/>
    <w:multiLevelType w:val="hybridMultilevel"/>
    <w:tmpl w:val="5CF46790"/>
    <w:lvl w:ilvl="0" w:tplc="90C2C6E2">
      <w:start w:val="1"/>
      <w:numFmt w:val="bullet"/>
      <w:lvlText w:val=""/>
      <w:lvlJc w:val="left"/>
      <w:pPr>
        <w:ind w:left="1080" w:hanging="360"/>
      </w:pPr>
      <w:rPr>
        <w:rFonts w:ascii="Symbol" w:hAnsi="Symbol"/>
      </w:rPr>
    </w:lvl>
    <w:lvl w:ilvl="1" w:tplc="6A7443EE">
      <w:start w:val="1"/>
      <w:numFmt w:val="bullet"/>
      <w:lvlText w:val=""/>
      <w:lvlJc w:val="left"/>
      <w:pPr>
        <w:ind w:left="1080" w:hanging="360"/>
      </w:pPr>
      <w:rPr>
        <w:rFonts w:ascii="Symbol" w:hAnsi="Symbol"/>
      </w:rPr>
    </w:lvl>
    <w:lvl w:ilvl="2" w:tplc="7A3015D4">
      <w:start w:val="1"/>
      <w:numFmt w:val="bullet"/>
      <w:lvlText w:val=""/>
      <w:lvlJc w:val="left"/>
      <w:pPr>
        <w:ind w:left="1080" w:hanging="360"/>
      </w:pPr>
      <w:rPr>
        <w:rFonts w:ascii="Symbol" w:hAnsi="Symbol"/>
      </w:rPr>
    </w:lvl>
    <w:lvl w:ilvl="3" w:tplc="DF22D1C2">
      <w:start w:val="1"/>
      <w:numFmt w:val="bullet"/>
      <w:lvlText w:val=""/>
      <w:lvlJc w:val="left"/>
      <w:pPr>
        <w:ind w:left="1080" w:hanging="360"/>
      </w:pPr>
      <w:rPr>
        <w:rFonts w:ascii="Symbol" w:hAnsi="Symbol"/>
      </w:rPr>
    </w:lvl>
    <w:lvl w:ilvl="4" w:tplc="A9B2B94A">
      <w:start w:val="1"/>
      <w:numFmt w:val="bullet"/>
      <w:lvlText w:val=""/>
      <w:lvlJc w:val="left"/>
      <w:pPr>
        <w:ind w:left="1080" w:hanging="360"/>
      </w:pPr>
      <w:rPr>
        <w:rFonts w:ascii="Symbol" w:hAnsi="Symbol"/>
      </w:rPr>
    </w:lvl>
    <w:lvl w:ilvl="5" w:tplc="FC025FC0">
      <w:start w:val="1"/>
      <w:numFmt w:val="bullet"/>
      <w:lvlText w:val=""/>
      <w:lvlJc w:val="left"/>
      <w:pPr>
        <w:ind w:left="1080" w:hanging="360"/>
      </w:pPr>
      <w:rPr>
        <w:rFonts w:ascii="Symbol" w:hAnsi="Symbol"/>
      </w:rPr>
    </w:lvl>
    <w:lvl w:ilvl="6" w:tplc="DC9004B0">
      <w:start w:val="1"/>
      <w:numFmt w:val="bullet"/>
      <w:lvlText w:val=""/>
      <w:lvlJc w:val="left"/>
      <w:pPr>
        <w:ind w:left="1080" w:hanging="360"/>
      </w:pPr>
      <w:rPr>
        <w:rFonts w:ascii="Symbol" w:hAnsi="Symbol"/>
      </w:rPr>
    </w:lvl>
    <w:lvl w:ilvl="7" w:tplc="0CF80330">
      <w:start w:val="1"/>
      <w:numFmt w:val="bullet"/>
      <w:lvlText w:val=""/>
      <w:lvlJc w:val="left"/>
      <w:pPr>
        <w:ind w:left="1080" w:hanging="360"/>
      </w:pPr>
      <w:rPr>
        <w:rFonts w:ascii="Symbol" w:hAnsi="Symbol"/>
      </w:rPr>
    </w:lvl>
    <w:lvl w:ilvl="8" w:tplc="B96CDE1E">
      <w:start w:val="1"/>
      <w:numFmt w:val="bullet"/>
      <w:lvlText w:val=""/>
      <w:lvlJc w:val="left"/>
      <w:pPr>
        <w:ind w:left="1080" w:hanging="360"/>
      </w:pPr>
      <w:rPr>
        <w:rFonts w:ascii="Symbol" w:hAnsi="Symbol"/>
      </w:rPr>
    </w:lvl>
  </w:abstractNum>
  <w:abstractNum w:abstractNumId="1">
    <w:nsid w:val="10D459B0"/>
    <w:multiLevelType w:val="hybridMultilevel"/>
    <w:tmpl w:val="C31A32B6"/>
    <w:lvl w:ilvl="0" w:tplc="50EA738C">
      <w:start w:val="1"/>
      <w:numFmt w:val="bullet"/>
      <w:lvlText w:val=""/>
      <w:lvlJc w:val="left"/>
      <w:pPr>
        <w:ind w:left="1080" w:hanging="360"/>
      </w:pPr>
      <w:rPr>
        <w:rFonts w:ascii="Symbol" w:hAnsi="Symbol"/>
      </w:rPr>
    </w:lvl>
    <w:lvl w:ilvl="1" w:tplc="D9CAD50E">
      <w:start w:val="1"/>
      <w:numFmt w:val="bullet"/>
      <w:lvlText w:val=""/>
      <w:lvlJc w:val="left"/>
      <w:pPr>
        <w:ind w:left="1440" w:hanging="360"/>
      </w:pPr>
      <w:rPr>
        <w:rFonts w:ascii="Symbol" w:hAnsi="Symbol"/>
      </w:rPr>
    </w:lvl>
    <w:lvl w:ilvl="2" w:tplc="F3268ADC">
      <w:start w:val="1"/>
      <w:numFmt w:val="bullet"/>
      <w:lvlText w:val=""/>
      <w:lvlJc w:val="left"/>
      <w:pPr>
        <w:ind w:left="1080" w:hanging="360"/>
      </w:pPr>
      <w:rPr>
        <w:rFonts w:ascii="Symbol" w:hAnsi="Symbol"/>
      </w:rPr>
    </w:lvl>
    <w:lvl w:ilvl="3" w:tplc="BCF8EB4E">
      <w:start w:val="1"/>
      <w:numFmt w:val="bullet"/>
      <w:lvlText w:val=""/>
      <w:lvlJc w:val="left"/>
      <w:pPr>
        <w:ind w:left="1080" w:hanging="360"/>
      </w:pPr>
      <w:rPr>
        <w:rFonts w:ascii="Symbol" w:hAnsi="Symbol"/>
      </w:rPr>
    </w:lvl>
    <w:lvl w:ilvl="4" w:tplc="C6F66022">
      <w:start w:val="1"/>
      <w:numFmt w:val="bullet"/>
      <w:lvlText w:val=""/>
      <w:lvlJc w:val="left"/>
      <w:pPr>
        <w:ind w:left="1080" w:hanging="360"/>
      </w:pPr>
      <w:rPr>
        <w:rFonts w:ascii="Symbol" w:hAnsi="Symbol"/>
      </w:rPr>
    </w:lvl>
    <w:lvl w:ilvl="5" w:tplc="51883952">
      <w:start w:val="1"/>
      <w:numFmt w:val="bullet"/>
      <w:lvlText w:val=""/>
      <w:lvlJc w:val="left"/>
      <w:pPr>
        <w:ind w:left="1080" w:hanging="360"/>
      </w:pPr>
      <w:rPr>
        <w:rFonts w:ascii="Symbol" w:hAnsi="Symbol"/>
      </w:rPr>
    </w:lvl>
    <w:lvl w:ilvl="6" w:tplc="87CC47C6">
      <w:start w:val="1"/>
      <w:numFmt w:val="bullet"/>
      <w:lvlText w:val=""/>
      <w:lvlJc w:val="left"/>
      <w:pPr>
        <w:ind w:left="1080" w:hanging="360"/>
      </w:pPr>
      <w:rPr>
        <w:rFonts w:ascii="Symbol" w:hAnsi="Symbol"/>
      </w:rPr>
    </w:lvl>
    <w:lvl w:ilvl="7" w:tplc="EE7E0406">
      <w:start w:val="1"/>
      <w:numFmt w:val="bullet"/>
      <w:lvlText w:val=""/>
      <w:lvlJc w:val="left"/>
      <w:pPr>
        <w:ind w:left="1080" w:hanging="360"/>
      </w:pPr>
      <w:rPr>
        <w:rFonts w:ascii="Symbol" w:hAnsi="Symbol"/>
      </w:rPr>
    </w:lvl>
    <w:lvl w:ilvl="8" w:tplc="C7268B40">
      <w:start w:val="1"/>
      <w:numFmt w:val="bullet"/>
      <w:lvlText w:val=""/>
      <w:lvlJc w:val="left"/>
      <w:pPr>
        <w:ind w:left="1080" w:hanging="360"/>
      </w:pPr>
      <w:rPr>
        <w:rFonts w:ascii="Symbol" w:hAnsi="Symbol"/>
      </w:rPr>
    </w:lvl>
  </w:abstractNum>
  <w:abstractNum w:abstractNumId="2">
    <w:nsid w:val="12794D90"/>
    <w:multiLevelType w:val="hybridMultilevel"/>
    <w:tmpl w:val="FF642FD4"/>
    <w:lvl w:ilvl="0" w:tplc="6122E206">
      <w:start w:val="1"/>
      <w:numFmt w:val="bullet"/>
      <w:lvlText w:val=""/>
      <w:lvlJc w:val="left"/>
      <w:pPr>
        <w:ind w:left="1080" w:hanging="360"/>
      </w:pPr>
      <w:rPr>
        <w:rFonts w:ascii="Symbol" w:hAnsi="Symbol"/>
      </w:rPr>
    </w:lvl>
    <w:lvl w:ilvl="1" w:tplc="9556A18E">
      <w:start w:val="1"/>
      <w:numFmt w:val="bullet"/>
      <w:lvlText w:val=""/>
      <w:lvlJc w:val="left"/>
      <w:pPr>
        <w:ind w:left="1080" w:hanging="360"/>
      </w:pPr>
      <w:rPr>
        <w:rFonts w:ascii="Symbol" w:hAnsi="Symbol"/>
      </w:rPr>
    </w:lvl>
    <w:lvl w:ilvl="2" w:tplc="3C62C5B6">
      <w:start w:val="1"/>
      <w:numFmt w:val="bullet"/>
      <w:lvlText w:val=""/>
      <w:lvlJc w:val="left"/>
      <w:pPr>
        <w:ind w:left="1080" w:hanging="360"/>
      </w:pPr>
      <w:rPr>
        <w:rFonts w:ascii="Symbol" w:hAnsi="Symbol"/>
      </w:rPr>
    </w:lvl>
    <w:lvl w:ilvl="3" w:tplc="64E8B730">
      <w:start w:val="1"/>
      <w:numFmt w:val="bullet"/>
      <w:lvlText w:val=""/>
      <w:lvlJc w:val="left"/>
      <w:pPr>
        <w:ind w:left="1080" w:hanging="360"/>
      </w:pPr>
      <w:rPr>
        <w:rFonts w:ascii="Symbol" w:hAnsi="Symbol"/>
      </w:rPr>
    </w:lvl>
    <w:lvl w:ilvl="4" w:tplc="46F0DE92">
      <w:start w:val="1"/>
      <w:numFmt w:val="bullet"/>
      <w:lvlText w:val=""/>
      <w:lvlJc w:val="left"/>
      <w:pPr>
        <w:ind w:left="1080" w:hanging="360"/>
      </w:pPr>
      <w:rPr>
        <w:rFonts w:ascii="Symbol" w:hAnsi="Symbol"/>
      </w:rPr>
    </w:lvl>
    <w:lvl w:ilvl="5" w:tplc="4034857C">
      <w:start w:val="1"/>
      <w:numFmt w:val="bullet"/>
      <w:lvlText w:val=""/>
      <w:lvlJc w:val="left"/>
      <w:pPr>
        <w:ind w:left="1080" w:hanging="360"/>
      </w:pPr>
      <w:rPr>
        <w:rFonts w:ascii="Symbol" w:hAnsi="Symbol"/>
      </w:rPr>
    </w:lvl>
    <w:lvl w:ilvl="6" w:tplc="61349E88">
      <w:start w:val="1"/>
      <w:numFmt w:val="bullet"/>
      <w:lvlText w:val=""/>
      <w:lvlJc w:val="left"/>
      <w:pPr>
        <w:ind w:left="1080" w:hanging="360"/>
      </w:pPr>
      <w:rPr>
        <w:rFonts w:ascii="Symbol" w:hAnsi="Symbol"/>
      </w:rPr>
    </w:lvl>
    <w:lvl w:ilvl="7" w:tplc="49BAC2E0">
      <w:start w:val="1"/>
      <w:numFmt w:val="bullet"/>
      <w:lvlText w:val=""/>
      <w:lvlJc w:val="left"/>
      <w:pPr>
        <w:ind w:left="1080" w:hanging="360"/>
      </w:pPr>
      <w:rPr>
        <w:rFonts w:ascii="Symbol" w:hAnsi="Symbol"/>
      </w:rPr>
    </w:lvl>
    <w:lvl w:ilvl="8" w:tplc="A3241A98">
      <w:start w:val="1"/>
      <w:numFmt w:val="bullet"/>
      <w:lvlText w:val=""/>
      <w:lvlJc w:val="left"/>
      <w:pPr>
        <w:ind w:left="1080" w:hanging="360"/>
      </w:pPr>
      <w:rPr>
        <w:rFonts w:ascii="Symbol" w:hAnsi="Symbol"/>
      </w:rPr>
    </w:lvl>
  </w:abstractNum>
  <w:abstractNum w:abstractNumId="3">
    <w:nsid w:val="37160850"/>
    <w:multiLevelType w:val="hybridMultilevel"/>
    <w:tmpl w:val="3CB8E590"/>
    <w:lvl w:ilvl="0" w:tplc="41CEE0A0">
      <w:start w:val="1"/>
      <w:numFmt w:val="bullet"/>
      <w:lvlText w:val=""/>
      <w:lvlJc w:val="left"/>
      <w:pPr>
        <w:ind w:left="1080" w:hanging="360"/>
      </w:pPr>
      <w:rPr>
        <w:rFonts w:ascii="Symbol" w:hAnsi="Symbol"/>
      </w:rPr>
    </w:lvl>
    <w:lvl w:ilvl="1" w:tplc="0A98A414">
      <w:start w:val="1"/>
      <w:numFmt w:val="bullet"/>
      <w:lvlText w:val=""/>
      <w:lvlJc w:val="left"/>
      <w:pPr>
        <w:ind w:left="1080" w:hanging="360"/>
      </w:pPr>
      <w:rPr>
        <w:rFonts w:ascii="Symbol" w:hAnsi="Symbol"/>
      </w:rPr>
    </w:lvl>
    <w:lvl w:ilvl="2" w:tplc="4558D292">
      <w:start w:val="1"/>
      <w:numFmt w:val="bullet"/>
      <w:lvlText w:val=""/>
      <w:lvlJc w:val="left"/>
      <w:pPr>
        <w:ind w:left="1080" w:hanging="360"/>
      </w:pPr>
      <w:rPr>
        <w:rFonts w:ascii="Symbol" w:hAnsi="Symbol"/>
      </w:rPr>
    </w:lvl>
    <w:lvl w:ilvl="3" w:tplc="A3187A94">
      <w:start w:val="1"/>
      <w:numFmt w:val="bullet"/>
      <w:lvlText w:val=""/>
      <w:lvlJc w:val="left"/>
      <w:pPr>
        <w:ind w:left="1080" w:hanging="360"/>
      </w:pPr>
      <w:rPr>
        <w:rFonts w:ascii="Symbol" w:hAnsi="Symbol"/>
      </w:rPr>
    </w:lvl>
    <w:lvl w:ilvl="4" w:tplc="034273F6">
      <w:start w:val="1"/>
      <w:numFmt w:val="bullet"/>
      <w:lvlText w:val=""/>
      <w:lvlJc w:val="left"/>
      <w:pPr>
        <w:ind w:left="1080" w:hanging="360"/>
      </w:pPr>
      <w:rPr>
        <w:rFonts w:ascii="Symbol" w:hAnsi="Symbol"/>
      </w:rPr>
    </w:lvl>
    <w:lvl w:ilvl="5" w:tplc="290035FA">
      <w:start w:val="1"/>
      <w:numFmt w:val="bullet"/>
      <w:lvlText w:val=""/>
      <w:lvlJc w:val="left"/>
      <w:pPr>
        <w:ind w:left="1080" w:hanging="360"/>
      </w:pPr>
      <w:rPr>
        <w:rFonts w:ascii="Symbol" w:hAnsi="Symbol"/>
      </w:rPr>
    </w:lvl>
    <w:lvl w:ilvl="6" w:tplc="25660866">
      <w:start w:val="1"/>
      <w:numFmt w:val="bullet"/>
      <w:lvlText w:val=""/>
      <w:lvlJc w:val="left"/>
      <w:pPr>
        <w:ind w:left="1080" w:hanging="360"/>
      </w:pPr>
      <w:rPr>
        <w:rFonts w:ascii="Symbol" w:hAnsi="Symbol"/>
      </w:rPr>
    </w:lvl>
    <w:lvl w:ilvl="7" w:tplc="7C3C6644">
      <w:start w:val="1"/>
      <w:numFmt w:val="bullet"/>
      <w:lvlText w:val=""/>
      <w:lvlJc w:val="left"/>
      <w:pPr>
        <w:ind w:left="1080" w:hanging="360"/>
      </w:pPr>
      <w:rPr>
        <w:rFonts w:ascii="Symbol" w:hAnsi="Symbol"/>
      </w:rPr>
    </w:lvl>
    <w:lvl w:ilvl="8" w:tplc="D5CC718C">
      <w:start w:val="1"/>
      <w:numFmt w:val="bullet"/>
      <w:lvlText w:val=""/>
      <w:lvlJc w:val="left"/>
      <w:pPr>
        <w:ind w:left="1080" w:hanging="360"/>
      </w:pPr>
      <w:rPr>
        <w:rFonts w:ascii="Symbol" w:hAnsi="Symbol"/>
      </w:rPr>
    </w:lvl>
  </w:abstractNum>
  <w:abstractNum w:abstractNumId="4">
    <w:nsid w:val="393A1420"/>
    <w:multiLevelType w:val="hybridMultilevel"/>
    <w:tmpl w:val="E88A87E0"/>
    <w:lvl w:ilvl="0" w:tplc="DBAAC470">
      <w:start w:val="1"/>
      <w:numFmt w:val="bullet"/>
      <w:lvlText w:val=""/>
      <w:lvlJc w:val="left"/>
      <w:pPr>
        <w:ind w:left="1080" w:hanging="360"/>
      </w:pPr>
      <w:rPr>
        <w:rFonts w:ascii="Symbol" w:hAnsi="Symbol"/>
      </w:rPr>
    </w:lvl>
    <w:lvl w:ilvl="1" w:tplc="0DD64BE0">
      <w:start w:val="1"/>
      <w:numFmt w:val="bullet"/>
      <w:lvlText w:val=""/>
      <w:lvlJc w:val="left"/>
      <w:pPr>
        <w:ind w:left="1440" w:hanging="360"/>
      </w:pPr>
      <w:rPr>
        <w:rFonts w:ascii="Symbol" w:hAnsi="Symbol"/>
      </w:rPr>
    </w:lvl>
    <w:lvl w:ilvl="2" w:tplc="7C5C33AE">
      <w:start w:val="1"/>
      <w:numFmt w:val="bullet"/>
      <w:lvlText w:val=""/>
      <w:lvlJc w:val="left"/>
      <w:pPr>
        <w:ind w:left="1080" w:hanging="360"/>
      </w:pPr>
      <w:rPr>
        <w:rFonts w:ascii="Symbol" w:hAnsi="Symbol"/>
      </w:rPr>
    </w:lvl>
    <w:lvl w:ilvl="3" w:tplc="FE56C5E0">
      <w:start w:val="1"/>
      <w:numFmt w:val="bullet"/>
      <w:lvlText w:val=""/>
      <w:lvlJc w:val="left"/>
      <w:pPr>
        <w:ind w:left="1080" w:hanging="360"/>
      </w:pPr>
      <w:rPr>
        <w:rFonts w:ascii="Symbol" w:hAnsi="Symbol"/>
      </w:rPr>
    </w:lvl>
    <w:lvl w:ilvl="4" w:tplc="A2BA447C">
      <w:start w:val="1"/>
      <w:numFmt w:val="bullet"/>
      <w:lvlText w:val=""/>
      <w:lvlJc w:val="left"/>
      <w:pPr>
        <w:ind w:left="1080" w:hanging="360"/>
      </w:pPr>
      <w:rPr>
        <w:rFonts w:ascii="Symbol" w:hAnsi="Symbol"/>
      </w:rPr>
    </w:lvl>
    <w:lvl w:ilvl="5" w:tplc="C0005F7E">
      <w:start w:val="1"/>
      <w:numFmt w:val="bullet"/>
      <w:lvlText w:val=""/>
      <w:lvlJc w:val="left"/>
      <w:pPr>
        <w:ind w:left="1080" w:hanging="360"/>
      </w:pPr>
      <w:rPr>
        <w:rFonts w:ascii="Symbol" w:hAnsi="Symbol"/>
      </w:rPr>
    </w:lvl>
    <w:lvl w:ilvl="6" w:tplc="C19AD580">
      <w:start w:val="1"/>
      <w:numFmt w:val="bullet"/>
      <w:lvlText w:val=""/>
      <w:lvlJc w:val="left"/>
      <w:pPr>
        <w:ind w:left="1080" w:hanging="360"/>
      </w:pPr>
      <w:rPr>
        <w:rFonts w:ascii="Symbol" w:hAnsi="Symbol"/>
      </w:rPr>
    </w:lvl>
    <w:lvl w:ilvl="7" w:tplc="084C8A96">
      <w:start w:val="1"/>
      <w:numFmt w:val="bullet"/>
      <w:lvlText w:val=""/>
      <w:lvlJc w:val="left"/>
      <w:pPr>
        <w:ind w:left="1080" w:hanging="360"/>
      </w:pPr>
      <w:rPr>
        <w:rFonts w:ascii="Symbol" w:hAnsi="Symbol"/>
      </w:rPr>
    </w:lvl>
    <w:lvl w:ilvl="8" w:tplc="1320002A">
      <w:start w:val="1"/>
      <w:numFmt w:val="bullet"/>
      <w:lvlText w:val=""/>
      <w:lvlJc w:val="left"/>
      <w:pPr>
        <w:ind w:left="1080" w:hanging="360"/>
      </w:pPr>
      <w:rPr>
        <w:rFonts w:ascii="Symbol" w:hAnsi="Symbol"/>
      </w:rPr>
    </w:lvl>
  </w:abstractNum>
  <w:abstractNum w:abstractNumId="5">
    <w:nsid w:val="4A096F1C"/>
    <w:multiLevelType w:val="hybridMultilevel"/>
    <w:tmpl w:val="B2224FD6"/>
    <w:lvl w:ilvl="0" w:tplc="3B269C9C">
      <w:start w:val="1"/>
      <w:numFmt w:val="bullet"/>
      <w:lvlText w:val=""/>
      <w:lvlJc w:val="left"/>
      <w:pPr>
        <w:ind w:left="1080" w:hanging="360"/>
      </w:pPr>
      <w:rPr>
        <w:rFonts w:ascii="Symbol" w:hAnsi="Symbol"/>
      </w:rPr>
    </w:lvl>
    <w:lvl w:ilvl="1" w:tplc="8FAA06D0">
      <w:start w:val="1"/>
      <w:numFmt w:val="bullet"/>
      <w:lvlText w:val=""/>
      <w:lvlJc w:val="left"/>
      <w:pPr>
        <w:ind w:left="1080" w:hanging="360"/>
      </w:pPr>
      <w:rPr>
        <w:rFonts w:ascii="Symbol" w:hAnsi="Symbol"/>
      </w:rPr>
    </w:lvl>
    <w:lvl w:ilvl="2" w:tplc="B584025A">
      <w:start w:val="1"/>
      <w:numFmt w:val="bullet"/>
      <w:lvlText w:val=""/>
      <w:lvlJc w:val="left"/>
      <w:pPr>
        <w:ind w:left="1080" w:hanging="360"/>
      </w:pPr>
      <w:rPr>
        <w:rFonts w:ascii="Symbol" w:hAnsi="Symbol"/>
      </w:rPr>
    </w:lvl>
    <w:lvl w:ilvl="3" w:tplc="A860DE42">
      <w:start w:val="1"/>
      <w:numFmt w:val="bullet"/>
      <w:lvlText w:val=""/>
      <w:lvlJc w:val="left"/>
      <w:pPr>
        <w:ind w:left="1080" w:hanging="360"/>
      </w:pPr>
      <w:rPr>
        <w:rFonts w:ascii="Symbol" w:hAnsi="Symbol"/>
      </w:rPr>
    </w:lvl>
    <w:lvl w:ilvl="4" w:tplc="401CFA5E">
      <w:start w:val="1"/>
      <w:numFmt w:val="bullet"/>
      <w:lvlText w:val=""/>
      <w:lvlJc w:val="left"/>
      <w:pPr>
        <w:ind w:left="1080" w:hanging="360"/>
      </w:pPr>
      <w:rPr>
        <w:rFonts w:ascii="Symbol" w:hAnsi="Symbol"/>
      </w:rPr>
    </w:lvl>
    <w:lvl w:ilvl="5" w:tplc="9D38EFFC">
      <w:start w:val="1"/>
      <w:numFmt w:val="bullet"/>
      <w:lvlText w:val=""/>
      <w:lvlJc w:val="left"/>
      <w:pPr>
        <w:ind w:left="1080" w:hanging="360"/>
      </w:pPr>
      <w:rPr>
        <w:rFonts w:ascii="Symbol" w:hAnsi="Symbol"/>
      </w:rPr>
    </w:lvl>
    <w:lvl w:ilvl="6" w:tplc="4A841628">
      <w:start w:val="1"/>
      <w:numFmt w:val="bullet"/>
      <w:lvlText w:val=""/>
      <w:lvlJc w:val="left"/>
      <w:pPr>
        <w:ind w:left="1080" w:hanging="360"/>
      </w:pPr>
      <w:rPr>
        <w:rFonts w:ascii="Symbol" w:hAnsi="Symbol"/>
      </w:rPr>
    </w:lvl>
    <w:lvl w:ilvl="7" w:tplc="802CB5B8">
      <w:start w:val="1"/>
      <w:numFmt w:val="bullet"/>
      <w:lvlText w:val=""/>
      <w:lvlJc w:val="left"/>
      <w:pPr>
        <w:ind w:left="1080" w:hanging="360"/>
      </w:pPr>
      <w:rPr>
        <w:rFonts w:ascii="Symbol" w:hAnsi="Symbol"/>
      </w:rPr>
    </w:lvl>
    <w:lvl w:ilvl="8" w:tplc="F59293F2">
      <w:start w:val="1"/>
      <w:numFmt w:val="bullet"/>
      <w:lvlText w:val=""/>
      <w:lvlJc w:val="left"/>
      <w:pPr>
        <w:ind w:left="1080" w:hanging="360"/>
      </w:pPr>
      <w:rPr>
        <w:rFonts w:ascii="Symbol" w:hAnsi="Symbol"/>
      </w:rPr>
    </w:lvl>
  </w:abstractNum>
  <w:abstractNum w:abstractNumId="6">
    <w:nsid w:val="57330205"/>
    <w:multiLevelType w:val="hybridMultilevel"/>
    <w:tmpl w:val="CFFA44A6"/>
    <w:lvl w:ilvl="0" w:tplc="73143C04">
      <w:start w:val="1"/>
      <w:numFmt w:val="bullet"/>
      <w:lvlText w:val=""/>
      <w:lvlJc w:val="left"/>
      <w:pPr>
        <w:ind w:left="1080" w:hanging="360"/>
      </w:pPr>
      <w:rPr>
        <w:rFonts w:ascii="Symbol" w:hAnsi="Symbol"/>
      </w:rPr>
    </w:lvl>
    <w:lvl w:ilvl="1" w:tplc="F19EBB26">
      <w:start w:val="1"/>
      <w:numFmt w:val="bullet"/>
      <w:lvlText w:val=""/>
      <w:lvlJc w:val="left"/>
      <w:pPr>
        <w:ind w:left="1440" w:hanging="360"/>
      </w:pPr>
      <w:rPr>
        <w:rFonts w:ascii="Symbol" w:hAnsi="Symbol"/>
      </w:rPr>
    </w:lvl>
    <w:lvl w:ilvl="2" w:tplc="B002B504">
      <w:start w:val="1"/>
      <w:numFmt w:val="bullet"/>
      <w:lvlText w:val=""/>
      <w:lvlJc w:val="left"/>
      <w:pPr>
        <w:ind w:left="1080" w:hanging="360"/>
      </w:pPr>
      <w:rPr>
        <w:rFonts w:ascii="Symbol" w:hAnsi="Symbol"/>
      </w:rPr>
    </w:lvl>
    <w:lvl w:ilvl="3" w:tplc="F118F02A">
      <w:start w:val="1"/>
      <w:numFmt w:val="bullet"/>
      <w:lvlText w:val=""/>
      <w:lvlJc w:val="left"/>
      <w:pPr>
        <w:ind w:left="1080" w:hanging="360"/>
      </w:pPr>
      <w:rPr>
        <w:rFonts w:ascii="Symbol" w:hAnsi="Symbol"/>
      </w:rPr>
    </w:lvl>
    <w:lvl w:ilvl="4" w:tplc="1CE282F0">
      <w:start w:val="1"/>
      <w:numFmt w:val="bullet"/>
      <w:lvlText w:val=""/>
      <w:lvlJc w:val="left"/>
      <w:pPr>
        <w:ind w:left="1080" w:hanging="360"/>
      </w:pPr>
      <w:rPr>
        <w:rFonts w:ascii="Symbol" w:hAnsi="Symbol"/>
      </w:rPr>
    </w:lvl>
    <w:lvl w:ilvl="5" w:tplc="C648632A">
      <w:start w:val="1"/>
      <w:numFmt w:val="bullet"/>
      <w:lvlText w:val=""/>
      <w:lvlJc w:val="left"/>
      <w:pPr>
        <w:ind w:left="1080" w:hanging="360"/>
      </w:pPr>
      <w:rPr>
        <w:rFonts w:ascii="Symbol" w:hAnsi="Symbol"/>
      </w:rPr>
    </w:lvl>
    <w:lvl w:ilvl="6" w:tplc="B06EE002">
      <w:start w:val="1"/>
      <w:numFmt w:val="bullet"/>
      <w:lvlText w:val=""/>
      <w:lvlJc w:val="left"/>
      <w:pPr>
        <w:ind w:left="1080" w:hanging="360"/>
      </w:pPr>
      <w:rPr>
        <w:rFonts w:ascii="Symbol" w:hAnsi="Symbol"/>
      </w:rPr>
    </w:lvl>
    <w:lvl w:ilvl="7" w:tplc="5F906B54">
      <w:start w:val="1"/>
      <w:numFmt w:val="bullet"/>
      <w:lvlText w:val=""/>
      <w:lvlJc w:val="left"/>
      <w:pPr>
        <w:ind w:left="1080" w:hanging="360"/>
      </w:pPr>
      <w:rPr>
        <w:rFonts w:ascii="Symbol" w:hAnsi="Symbol"/>
      </w:rPr>
    </w:lvl>
    <w:lvl w:ilvl="8" w:tplc="11347A0E">
      <w:start w:val="1"/>
      <w:numFmt w:val="bullet"/>
      <w:lvlText w:val=""/>
      <w:lvlJc w:val="left"/>
      <w:pPr>
        <w:ind w:left="1080" w:hanging="360"/>
      </w:pPr>
      <w:rPr>
        <w:rFonts w:ascii="Symbol" w:hAnsi="Symbol"/>
      </w:rPr>
    </w:lvl>
  </w:abstractNum>
  <w:abstractNum w:abstractNumId="7">
    <w:nsid w:val="760C0542"/>
    <w:multiLevelType w:val="hybridMultilevel"/>
    <w:tmpl w:val="B9DA50F4"/>
    <w:lvl w:ilvl="0" w:tplc="27D0BDDA">
      <w:start w:val="1"/>
      <w:numFmt w:val="bullet"/>
      <w:lvlText w:val=""/>
      <w:lvlJc w:val="left"/>
      <w:pPr>
        <w:ind w:left="1080" w:hanging="360"/>
      </w:pPr>
      <w:rPr>
        <w:rFonts w:ascii="Symbol" w:hAnsi="Symbol"/>
      </w:rPr>
    </w:lvl>
    <w:lvl w:ilvl="1" w:tplc="0544530C">
      <w:start w:val="1"/>
      <w:numFmt w:val="bullet"/>
      <w:lvlText w:val=""/>
      <w:lvlJc w:val="left"/>
      <w:pPr>
        <w:ind w:left="1080" w:hanging="360"/>
      </w:pPr>
      <w:rPr>
        <w:rFonts w:ascii="Symbol" w:hAnsi="Symbol"/>
      </w:rPr>
    </w:lvl>
    <w:lvl w:ilvl="2" w:tplc="43102230">
      <w:start w:val="1"/>
      <w:numFmt w:val="bullet"/>
      <w:lvlText w:val=""/>
      <w:lvlJc w:val="left"/>
      <w:pPr>
        <w:ind w:left="1080" w:hanging="360"/>
      </w:pPr>
      <w:rPr>
        <w:rFonts w:ascii="Symbol" w:hAnsi="Symbol"/>
      </w:rPr>
    </w:lvl>
    <w:lvl w:ilvl="3" w:tplc="FF1A4348">
      <w:start w:val="1"/>
      <w:numFmt w:val="bullet"/>
      <w:lvlText w:val=""/>
      <w:lvlJc w:val="left"/>
      <w:pPr>
        <w:ind w:left="1080" w:hanging="360"/>
      </w:pPr>
      <w:rPr>
        <w:rFonts w:ascii="Symbol" w:hAnsi="Symbol"/>
      </w:rPr>
    </w:lvl>
    <w:lvl w:ilvl="4" w:tplc="9CFA8994">
      <w:start w:val="1"/>
      <w:numFmt w:val="bullet"/>
      <w:lvlText w:val=""/>
      <w:lvlJc w:val="left"/>
      <w:pPr>
        <w:ind w:left="1080" w:hanging="360"/>
      </w:pPr>
      <w:rPr>
        <w:rFonts w:ascii="Symbol" w:hAnsi="Symbol"/>
      </w:rPr>
    </w:lvl>
    <w:lvl w:ilvl="5" w:tplc="9ADEB3AC">
      <w:start w:val="1"/>
      <w:numFmt w:val="bullet"/>
      <w:lvlText w:val=""/>
      <w:lvlJc w:val="left"/>
      <w:pPr>
        <w:ind w:left="1080" w:hanging="360"/>
      </w:pPr>
      <w:rPr>
        <w:rFonts w:ascii="Symbol" w:hAnsi="Symbol"/>
      </w:rPr>
    </w:lvl>
    <w:lvl w:ilvl="6" w:tplc="407AFA74">
      <w:start w:val="1"/>
      <w:numFmt w:val="bullet"/>
      <w:lvlText w:val=""/>
      <w:lvlJc w:val="left"/>
      <w:pPr>
        <w:ind w:left="1080" w:hanging="360"/>
      </w:pPr>
      <w:rPr>
        <w:rFonts w:ascii="Symbol" w:hAnsi="Symbol"/>
      </w:rPr>
    </w:lvl>
    <w:lvl w:ilvl="7" w:tplc="BF00E85A">
      <w:start w:val="1"/>
      <w:numFmt w:val="bullet"/>
      <w:lvlText w:val=""/>
      <w:lvlJc w:val="left"/>
      <w:pPr>
        <w:ind w:left="1080" w:hanging="360"/>
      </w:pPr>
      <w:rPr>
        <w:rFonts w:ascii="Symbol" w:hAnsi="Symbol"/>
      </w:rPr>
    </w:lvl>
    <w:lvl w:ilvl="8" w:tplc="6E6A5C82">
      <w:start w:val="1"/>
      <w:numFmt w:val="bullet"/>
      <w:lvlText w:val=""/>
      <w:lvlJc w:val="left"/>
      <w:pPr>
        <w:ind w:left="1080" w:hanging="360"/>
      </w:pPr>
      <w:rPr>
        <w:rFonts w:ascii="Symbol" w:hAnsi="Symbol"/>
      </w:rPr>
    </w:lvl>
  </w:abstractNum>
  <w:abstractNum w:abstractNumId="8">
    <w:nsid w:val="7A2E1034"/>
    <w:multiLevelType w:val="hybridMultilevel"/>
    <w:tmpl w:val="B442BD54"/>
    <w:lvl w:ilvl="0" w:tplc="EE003BB0">
      <w:start w:val="1"/>
      <w:numFmt w:val="bullet"/>
      <w:lvlText w:val=""/>
      <w:lvlJc w:val="left"/>
      <w:pPr>
        <w:ind w:left="1080" w:hanging="360"/>
      </w:pPr>
      <w:rPr>
        <w:rFonts w:ascii="Symbol" w:hAnsi="Symbol"/>
      </w:rPr>
    </w:lvl>
    <w:lvl w:ilvl="1" w:tplc="19D432D0">
      <w:start w:val="1"/>
      <w:numFmt w:val="bullet"/>
      <w:lvlText w:val=""/>
      <w:lvlJc w:val="left"/>
      <w:pPr>
        <w:ind w:left="1080" w:hanging="360"/>
      </w:pPr>
      <w:rPr>
        <w:rFonts w:ascii="Symbol" w:hAnsi="Symbol"/>
      </w:rPr>
    </w:lvl>
    <w:lvl w:ilvl="2" w:tplc="AEDCA176">
      <w:start w:val="1"/>
      <w:numFmt w:val="bullet"/>
      <w:lvlText w:val=""/>
      <w:lvlJc w:val="left"/>
      <w:pPr>
        <w:ind w:left="1080" w:hanging="360"/>
      </w:pPr>
      <w:rPr>
        <w:rFonts w:ascii="Symbol" w:hAnsi="Symbol"/>
      </w:rPr>
    </w:lvl>
    <w:lvl w:ilvl="3" w:tplc="A4DAAF4C">
      <w:start w:val="1"/>
      <w:numFmt w:val="bullet"/>
      <w:lvlText w:val=""/>
      <w:lvlJc w:val="left"/>
      <w:pPr>
        <w:ind w:left="1080" w:hanging="360"/>
      </w:pPr>
      <w:rPr>
        <w:rFonts w:ascii="Symbol" w:hAnsi="Symbol"/>
      </w:rPr>
    </w:lvl>
    <w:lvl w:ilvl="4" w:tplc="7E32A97C">
      <w:start w:val="1"/>
      <w:numFmt w:val="bullet"/>
      <w:lvlText w:val=""/>
      <w:lvlJc w:val="left"/>
      <w:pPr>
        <w:ind w:left="1080" w:hanging="360"/>
      </w:pPr>
      <w:rPr>
        <w:rFonts w:ascii="Symbol" w:hAnsi="Symbol"/>
      </w:rPr>
    </w:lvl>
    <w:lvl w:ilvl="5" w:tplc="89DC43E2">
      <w:start w:val="1"/>
      <w:numFmt w:val="bullet"/>
      <w:lvlText w:val=""/>
      <w:lvlJc w:val="left"/>
      <w:pPr>
        <w:ind w:left="1080" w:hanging="360"/>
      </w:pPr>
      <w:rPr>
        <w:rFonts w:ascii="Symbol" w:hAnsi="Symbol"/>
      </w:rPr>
    </w:lvl>
    <w:lvl w:ilvl="6" w:tplc="A01AAE54">
      <w:start w:val="1"/>
      <w:numFmt w:val="bullet"/>
      <w:lvlText w:val=""/>
      <w:lvlJc w:val="left"/>
      <w:pPr>
        <w:ind w:left="1080" w:hanging="360"/>
      </w:pPr>
      <w:rPr>
        <w:rFonts w:ascii="Symbol" w:hAnsi="Symbol"/>
      </w:rPr>
    </w:lvl>
    <w:lvl w:ilvl="7" w:tplc="7AC8F0DE">
      <w:start w:val="1"/>
      <w:numFmt w:val="bullet"/>
      <w:lvlText w:val=""/>
      <w:lvlJc w:val="left"/>
      <w:pPr>
        <w:ind w:left="1080" w:hanging="360"/>
      </w:pPr>
      <w:rPr>
        <w:rFonts w:ascii="Symbol" w:hAnsi="Symbol"/>
      </w:rPr>
    </w:lvl>
    <w:lvl w:ilvl="8" w:tplc="2230E94A">
      <w:start w:val="1"/>
      <w:numFmt w:val="bullet"/>
      <w:lvlText w:val=""/>
      <w:lvlJc w:val="left"/>
      <w:pPr>
        <w:ind w:left="1080" w:hanging="360"/>
      </w:pPr>
      <w:rPr>
        <w:rFonts w:ascii="Symbol" w:hAnsi="Symbol"/>
      </w:rPr>
    </w:lvl>
  </w:abstractNum>
  <w:num w:numId="1">
    <w:abstractNumId w:val="2"/>
  </w:num>
  <w:num w:numId="2">
    <w:abstractNumId w:val="3"/>
  </w:num>
  <w:num w:numId="3">
    <w:abstractNumId w:val="0"/>
  </w:num>
  <w:num w:numId="4">
    <w:abstractNumId w:val="4"/>
  </w:num>
  <w:num w:numId="5">
    <w:abstractNumId w:val="7"/>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37"/>
    <w:rsid w:val="000422E3"/>
    <w:rsid w:val="000A4E60"/>
    <w:rsid w:val="001938A1"/>
    <w:rsid w:val="00210E35"/>
    <w:rsid w:val="002375E2"/>
    <w:rsid w:val="00292FFE"/>
    <w:rsid w:val="002F6105"/>
    <w:rsid w:val="003272CD"/>
    <w:rsid w:val="003C32BF"/>
    <w:rsid w:val="00422405"/>
    <w:rsid w:val="005155C5"/>
    <w:rsid w:val="005B35B7"/>
    <w:rsid w:val="005E1D2C"/>
    <w:rsid w:val="005F286B"/>
    <w:rsid w:val="007121D0"/>
    <w:rsid w:val="00713A4F"/>
    <w:rsid w:val="00720010"/>
    <w:rsid w:val="008759AA"/>
    <w:rsid w:val="0088535E"/>
    <w:rsid w:val="00910E2E"/>
    <w:rsid w:val="00933B78"/>
    <w:rsid w:val="00977676"/>
    <w:rsid w:val="009C5C4E"/>
    <w:rsid w:val="009F697F"/>
    <w:rsid w:val="00A96CD6"/>
    <w:rsid w:val="00B44298"/>
    <w:rsid w:val="00D30E95"/>
    <w:rsid w:val="00D44C37"/>
    <w:rsid w:val="00D67F0E"/>
    <w:rsid w:val="00DE481C"/>
    <w:rsid w:val="00DF5898"/>
    <w:rsid w:val="00E32D59"/>
    <w:rsid w:val="00E549AC"/>
    <w:rsid w:val="00E55493"/>
    <w:rsid w:val="00E6267D"/>
    <w:rsid w:val="00EC279B"/>
    <w:rsid w:val="00FC0FC6"/>
    <w:rsid w:val="00FE609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49" w:lineRule="exact"/>
      <w:ind w:left="372"/>
      <w:outlineLvl w:val="0"/>
    </w:pPr>
    <w:rPr>
      <w:b/>
      <w:bCs/>
    </w:rPr>
  </w:style>
  <w:style w:type="paragraph" w:styleId="Heading2">
    <w:name w:val="heading 2"/>
    <w:basedOn w:val="Normal"/>
    <w:uiPriority w:val="9"/>
    <w:unhideWhenUsed/>
    <w:qFormat/>
    <w:pPr>
      <w:ind w:left="365"/>
      <w:outlineLvl w:val="1"/>
    </w:pPr>
    <w:rPr>
      <w:b/>
      <w:bCs/>
    </w:rPr>
  </w:style>
  <w:style w:type="paragraph" w:styleId="Heading3">
    <w:name w:val="heading 3"/>
    <w:basedOn w:val="Normal"/>
    <w:next w:val="Normal"/>
    <w:link w:val="Heading3Char"/>
    <w:uiPriority w:val="9"/>
    <w:semiHidden/>
    <w:unhideWhenUsed/>
    <w:qFormat/>
    <w:rsid w:val="000A4E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1D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297"/>
      <w:ind w:left="293" w:right="1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286B"/>
    <w:rPr>
      <w:sz w:val="16"/>
      <w:szCs w:val="16"/>
    </w:rPr>
  </w:style>
  <w:style w:type="paragraph" w:styleId="CommentText">
    <w:name w:val="annotation text"/>
    <w:basedOn w:val="Normal"/>
    <w:link w:val="CommentTextChar"/>
    <w:uiPriority w:val="99"/>
    <w:unhideWhenUsed/>
    <w:rsid w:val="005F286B"/>
    <w:rPr>
      <w:sz w:val="20"/>
      <w:szCs w:val="20"/>
    </w:rPr>
  </w:style>
  <w:style w:type="character" w:customStyle="1" w:styleId="CommentTextChar">
    <w:name w:val="Comment Text Char"/>
    <w:basedOn w:val="DefaultParagraphFont"/>
    <w:link w:val="CommentText"/>
    <w:uiPriority w:val="99"/>
    <w:rsid w:val="005F286B"/>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5F286B"/>
    <w:rPr>
      <w:b/>
      <w:bCs/>
    </w:rPr>
  </w:style>
  <w:style w:type="character" w:customStyle="1" w:styleId="CommentSubjectChar">
    <w:name w:val="Comment Subject Char"/>
    <w:basedOn w:val="CommentTextChar"/>
    <w:link w:val="CommentSubject"/>
    <w:uiPriority w:val="99"/>
    <w:semiHidden/>
    <w:rsid w:val="005F286B"/>
    <w:rPr>
      <w:rFonts w:ascii="Times New Roman" w:eastAsia="Times New Roman" w:hAnsi="Times New Roman" w:cs="Times New Roman"/>
      <w:b/>
      <w:bCs/>
      <w:sz w:val="20"/>
      <w:szCs w:val="20"/>
      <w:lang w:val="id"/>
    </w:rPr>
  </w:style>
  <w:style w:type="paragraph" w:styleId="NormalWeb">
    <w:name w:val="Normal (Web)"/>
    <w:basedOn w:val="Normal"/>
    <w:uiPriority w:val="99"/>
    <w:semiHidden/>
    <w:unhideWhenUsed/>
    <w:rsid w:val="00A96CD6"/>
    <w:pPr>
      <w:widowControl/>
      <w:autoSpaceDE/>
      <w:autoSpaceDN/>
      <w:spacing w:before="100" w:beforeAutospacing="1" w:after="100" w:afterAutospacing="1"/>
    </w:pPr>
    <w:rPr>
      <w:sz w:val="24"/>
      <w:szCs w:val="24"/>
      <w:lang w:val="en-ID" w:eastAsia="zh-CN"/>
    </w:rPr>
  </w:style>
  <w:style w:type="character" w:styleId="Emphasis">
    <w:name w:val="Emphasis"/>
    <w:basedOn w:val="DefaultParagraphFont"/>
    <w:uiPriority w:val="20"/>
    <w:qFormat/>
    <w:rsid w:val="00A96CD6"/>
    <w:rPr>
      <w:i/>
      <w:iCs/>
    </w:rPr>
  </w:style>
  <w:style w:type="character" w:styleId="Strong">
    <w:name w:val="Strong"/>
    <w:basedOn w:val="DefaultParagraphFont"/>
    <w:uiPriority w:val="22"/>
    <w:qFormat/>
    <w:rsid w:val="00A96CD6"/>
    <w:rPr>
      <w:b/>
      <w:bCs/>
    </w:rPr>
  </w:style>
  <w:style w:type="character" w:customStyle="1" w:styleId="Heading3Char">
    <w:name w:val="Heading 3 Char"/>
    <w:basedOn w:val="DefaultParagraphFont"/>
    <w:link w:val="Heading3"/>
    <w:uiPriority w:val="9"/>
    <w:semiHidden/>
    <w:rsid w:val="000A4E60"/>
    <w:rPr>
      <w:rFonts w:asciiTheme="majorHAnsi" w:eastAsiaTheme="majorEastAsia" w:hAnsiTheme="majorHAnsi" w:cstheme="majorBidi"/>
      <w:color w:val="243F60" w:themeColor="accent1" w:themeShade="7F"/>
      <w:sz w:val="24"/>
      <w:szCs w:val="24"/>
      <w:lang w:val="id"/>
    </w:rPr>
  </w:style>
  <w:style w:type="table" w:styleId="TableGrid">
    <w:name w:val="Table Grid"/>
    <w:basedOn w:val="TableNormal"/>
    <w:uiPriority w:val="39"/>
    <w:rsid w:val="00977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5E1D2C"/>
    <w:rPr>
      <w:rFonts w:asciiTheme="majorHAnsi" w:eastAsiaTheme="majorEastAsia" w:hAnsiTheme="majorHAnsi" w:cstheme="majorBidi"/>
      <w:i/>
      <w:iCs/>
      <w:color w:val="365F91" w:themeColor="accent1" w:themeShade="BF"/>
      <w:lang w:val="id"/>
    </w:rPr>
  </w:style>
  <w:style w:type="paragraph" w:styleId="Header">
    <w:name w:val="header"/>
    <w:basedOn w:val="Normal"/>
    <w:link w:val="HeaderChar"/>
    <w:uiPriority w:val="99"/>
    <w:unhideWhenUsed/>
    <w:rsid w:val="005E1D2C"/>
    <w:pPr>
      <w:tabs>
        <w:tab w:val="center" w:pos="4513"/>
        <w:tab w:val="right" w:pos="9026"/>
      </w:tabs>
    </w:pPr>
  </w:style>
  <w:style w:type="character" w:customStyle="1" w:styleId="HeaderChar">
    <w:name w:val="Header Char"/>
    <w:basedOn w:val="DefaultParagraphFont"/>
    <w:link w:val="Header"/>
    <w:uiPriority w:val="99"/>
    <w:rsid w:val="005E1D2C"/>
    <w:rPr>
      <w:rFonts w:ascii="Times New Roman" w:eastAsia="Times New Roman" w:hAnsi="Times New Roman" w:cs="Times New Roman"/>
      <w:lang w:val="id"/>
    </w:rPr>
  </w:style>
  <w:style w:type="paragraph" w:styleId="Footer">
    <w:name w:val="footer"/>
    <w:basedOn w:val="Normal"/>
    <w:link w:val="FooterChar"/>
    <w:uiPriority w:val="99"/>
    <w:unhideWhenUsed/>
    <w:rsid w:val="005E1D2C"/>
    <w:pPr>
      <w:tabs>
        <w:tab w:val="center" w:pos="4513"/>
        <w:tab w:val="right" w:pos="9026"/>
      </w:tabs>
    </w:pPr>
  </w:style>
  <w:style w:type="character" w:customStyle="1" w:styleId="FooterChar">
    <w:name w:val="Footer Char"/>
    <w:basedOn w:val="DefaultParagraphFont"/>
    <w:link w:val="Footer"/>
    <w:uiPriority w:val="99"/>
    <w:rsid w:val="005E1D2C"/>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92FFE"/>
    <w:rPr>
      <w:rFonts w:ascii="Tahoma" w:hAnsi="Tahoma" w:cs="Tahoma"/>
      <w:sz w:val="16"/>
      <w:szCs w:val="16"/>
    </w:rPr>
  </w:style>
  <w:style w:type="character" w:customStyle="1" w:styleId="BalloonTextChar">
    <w:name w:val="Balloon Text Char"/>
    <w:basedOn w:val="DefaultParagraphFont"/>
    <w:link w:val="BalloonText"/>
    <w:uiPriority w:val="99"/>
    <w:semiHidden/>
    <w:rsid w:val="00292FFE"/>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49" w:lineRule="exact"/>
      <w:ind w:left="372"/>
      <w:outlineLvl w:val="0"/>
    </w:pPr>
    <w:rPr>
      <w:b/>
      <w:bCs/>
    </w:rPr>
  </w:style>
  <w:style w:type="paragraph" w:styleId="Heading2">
    <w:name w:val="heading 2"/>
    <w:basedOn w:val="Normal"/>
    <w:uiPriority w:val="9"/>
    <w:unhideWhenUsed/>
    <w:qFormat/>
    <w:pPr>
      <w:ind w:left="365"/>
      <w:outlineLvl w:val="1"/>
    </w:pPr>
    <w:rPr>
      <w:b/>
      <w:bCs/>
    </w:rPr>
  </w:style>
  <w:style w:type="paragraph" w:styleId="Heading3">
    <w:name w:val="heading 3"/>
    <w:basedOn w:val="Normal"/>
    <w:next w:val="Normal"/>
    <w:link w:val="Heading3Char"/>
    <w:uiPriority w:val="9"/>
    <w:semiHidden/>
    <w:unhideWhenUsed/>
    <w:qFormat/>
    <w:rsid w:val="000A4E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1D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297"/>
      <w:ind w:left="293" w:right="1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286B"/>
    <w:rPr>
      <w:sz w:val="16"/>
      <w:szCs w:val="16"/>
    </w:rPr>
  </w:style>
  <w:style w:type="paragraph" w:styleId="CommentText">
    <w:name w:val="annotation text"/>
    <w:basedOn w:val="Normal"/>
    <w:link w:val="CommentTextChar"/>
    <w:uiPriority w:val="99"/>
    <w:unhideWhenUsed/>
    <w:rsid w:val="005F286B"/>
    <w:rPr>
      <w:sz w:val="20"/>
      <w:szCs w:val="20"/>
    </w:rPr>
  </w:style>
  <w:style w:type="character" w:customStyle="1" w:styleId="CommentTextChar">
    <w:name w:val="Comment Text Char"/>
    <w:basedOn w:val="DefaultParagraphFont"/>
    <w:link w:val="CommentText"/>
    <w:uiPriority w:val="99"/>
    <w:rsid w:val="005F286B"/>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5F286B"/>
    <w:rPr>
      <w:b/>
      <w:bCs/>
    </w:rPr>
  </w:style>
  <w:style w:type="character" w:customStyle="1" w:styleId="CommentSubjectChar">
    <w:name w:val="Comment Subject Char"/>
    <w:basedOn w:val="CommentTextChar"/>
    <w:link w:val="CommentSubject"/>
    <w:uiPriority w:val="99"/>
    <w:semiHidden/>
    <w:rsid w:val="005F286B"/>
    <w:rPr>
      <w:rFonts w:ascii="Times New Roman" w:eastAsia="Times New Roman" w:hAnsi="Times New Roman" w:cs="Times New Roman"/>
      <w:b/>
      <w:bCs/>
      <w:sz w:val="20"/>
      <w:szCs w:val="20"/>
      <w:lang w:val="id"/>
    </w:rPr>
  </w:style>
  <w:style w:type="paragraph" w:styleId="NormalWeb">
    <w:name w:val="Normal (Web)"/>
    <w:basedOn w:val="Normal"/>
    <w:uiPriority w:val="99"/>
    <w:semiHidden/>
    <w:unhideWhenUsed/>
    <w:rsid w:val="00A96CD6"/>
    <w:pPr>
      <w:widowControl/>
      <w:autoSpaceDE/>
      <w:autoSpaceDN/>
      <w:spacing w:before="100" w:beforeAutospacing="1" w:after="100" w:afterAutospacing="1"/>
    </w:pPr>
    <w:rPr>
      <w:sz w:val="24"/>
      <w:szCs w:val="24"/>
      <w:lang w:val="en-ID" w:eastAsia="zh-CN"/>
    </w:rPr>
  </w:style>
  <w:style w:type="character" w:styleId="Emphasis">
    <w:name w:val="Emphasis"/>
    <w:basedOn w:val="DefaultParagraphFont"/>
    <w:uiPriority w:val="20"/>
    <w:qFormat/>
    <w:rsid w:val="00A96CD6"/>
    <w:rPr>
      <w:i/>
      <w:iCs/>
    </w:rPr>
  </w:style>
  <w:style w:type="character" w:styleId="Strong">
    <w:name w:val="Strong"/>
    <w:basedOn w:val="DefaultParagraphFont"/>
    <w:uiPriority w:val="22"/>
    <w:qFormat/>
    <w:rsid w:val="00A96CD6"/>
    <w:rPr>
      <w:b/>
      <w:bCs/>
    </w:rPr>
  </w:style>
  <w:style w:type="character" w:customStyle="1" w:styleId="Heading3Char">
    <w:name w:val="Heading 3 Char"/>
    <w:basedOn w:val="DefaultParagraphFont"/>
    <w:link w:val="Heading3"/>
    <w:uiPriority w:val="9"/>
    <w:semiHidden/>
    <w:rsid w:val="000A4E60"/>
    <w:rPr>
      <w:rFonts w:asciiTheme="majorHAnsi" w:eastAsiaTheme="majorEastAsia" w:hAnsiTheme="majorHAnsi" w:cstheme="majorBidi"/>
      <w:color w:val="243F60" w:themeColor="accent1" w:themeShade="7F"/>
      <w:sz w:val="24"/>
      <w:szCs w:val="24"/>
      <w:lang w:val="id"/>
    </w:rPr>
  </w:style>
  <w:style w:type="table" w:styleId="TableGrid">
    <w:name w:val="Table Grid"/>
    <w:basedOn w:val="TableNormal"/>
    <w:uiPriority w:val="39"/>
    <w:rsid w:val="00977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5E1D2C"/>
    <w:rPr>
      <w:rFonts w:asciiTheme="majorHAnsi" w:eastAsiaTheme="majorEastAsia" w:hAnsiTheme="majorHAnsi" w:cstheme="majorBidi"/>
      <w:i/>
      <w:iCs/>
      <w:color w:val="365F91" w:themeColor="accent1" w:themeShade="BF"/>
      <w:lang w:val="id"/>
    </w:rPr>
  </w:style>
  <w:style w:type="paragraph" w:styleId="Header">
    <w:name w:val="header"/>
    <w:basedOn w:val="Normal"/>
    <w:link w:val="HeaderChar"/>
    <w:uiPriority w:val="99"/>
    <w:unhideWhenUsed/>
    <w:rsid w:val="005E1D2C"/>
    <w:pPr>
      <w:tabs>
        <w:tab w:val="center" w:pos="4513"/>
        <w:tab w:val="right" w:pos="9026"/>
      </w:tabs>
    </w:pPr>
  </w:style>
  <w:style w:type="character" w:customStyle="1" w:styleId="HeaderChar">
    <w:name w:val="Header Char"/>
    <w:basedOn w:val="DefaultParagraphFont"/>
    <w:link w:val="Header"/>
    <w:uiPriority w:val="99"/>
    <w:rsid w:val="005E1D2C"/>
    <w:rPr>
      <w:rFonts w:ascii="Times New Roman" w:eastAsia="Times New Roman" w:hAnsi="Times New Roman" w:cs="Times New Roman"/>
      <w:lang w:val="id"/>
    </w:rPr>
  </w:style>
  <w:style w:type="paragraph" w:styleId="Footer">
    <w:name w:val="footer"/>
    <w:basedOn w:val="Normal"/>
    <w:link w:val="FooterChar"/>
    <w:uiPriority w:val="99"/>
    <w:unhideWhenUsed/>
    <w:rsid w:val="005E1D2C"/>
    <w:pPr>
      <w:tabs>
        <w:tab w:val="center" w:pos="4513"/>
        <w:tab w:val="right" w:pos="9026"/>
      </w:tabs>
    </w:pPr>
  </w:style>
  <w:style w:type="character" w:customStyle="1" w:styleId="FooterChar">
    <w:name w:val="Footer Char"/>
    <w:basedOn w:val="DefaultParagraphFont"/>
    <w:link w:val="Footer"/>
    <w:uiPriority w:val="99"/>
    <w:rsid w:val="005E1D2C"/>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92FFE"/>
    <w:rPr>
      <w:rFonts w:ascii="Tahoma" w:hAnsi="Tahoma" w:cs="Tahoma"/>
      <w:sz w:val="16"/>
      <w:szCs w:val="16"/>
    </w:rPr>
  </w:style>
  <w:style w:type="character" w:customStyle="1" w:styleId="BalloonTextChar">
    <w:name w:val="Balloon Text Char"/>
    <w:basedOn w:val="DefaultParagraphFont"/>
    <w:link w:val="BalloonText"/>
    <w:uiPriority w:val="99"/>
    <w:semiHidden/>
    <w:rsid w:val="00292FFE"/>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rilsrt18@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tika0482@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2026-870F-4866-BB4A-D19D40F1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9934</Words>
  <Characters>56630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3</cp:revision>
  <cp:lastPrinted>2026-01-20T16:31:00Z</cp:lastPrinted>
  <dcterms:created xsi:type="dcterms:W3CDTF">2026-01-20T16:31:00Z</dcterms:created>
  <dcterms:modified xsi:type="dcterms:W3CDTF">2026-01-20T16:33:00Z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2016</vt:lpwstr>
  </property>
  <property fmtid="{D5CDD505-2E9C-101B-9397-08002B2CF9AE}" pid="4" name="LastSaved">
    <vt:filetime>2025-11-27T00:00:00Z</vt:filetime>
  </property>
  <property fmtid="{D5CDD505-2E9C-101B-9397-08002B2CF9AE}" pid="5" name="Producer">
    <vt:lpwstr>www.ilovepdf.com</vt:lpwstr>
  </property>
  <property fmtid="{D5CDD505-2E9C-101B-9397-08002B2CF9AE}" pid="6" name="Mendeley Document_1">
    <vt:lpwstr>True</vt:lpwstr>
  </property>
  <property fmtid="{D5CDD505-2E9C-101B-9397-08002B2CF9AE}" pid="7" name="Mendeley Unique User Id_1">
    <vt:lpwstr>5a330a12-4049-3bd3-b9d0-501f5d339b19</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9th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