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ED7F4" w14:textId="4B4AF46E" w:rsidR="00EA3594" w:rsidRPr="00DE697C" w:rsidRDefault="00EA3594" w:rsidP="00DE697C">
      <w:pPr>
        <w:pStyle w:val="Title"/>
        <w:tabs>
          <w:tab w:val="left" w:pos="7513"/>
        </w:tabs>
        <w:spacing w:before="0"/>
        <w:ind w:left="0" w:right="95"/>
        <w:jc w:val="both"/>
        <w:rPr>
          <w:sz w:val="28"/>
        </w:rPr>
      </w:pPr>
      <w:r w:rsidRPr="00DE697C">
        <w:rPr>
          <w:sz w:val="28"/>
        </w:rPr>
        <w:t>CHARACTERISTICS TRAUMATIC OPTIC NEUROPATHY PATIENTS AT RSUP PROF. DR. I.G.N.G. NGOERAH DENPASAR YEAR 2022 - 2023</w:t>
      </w:r>
      <w:r w:rsidR="00127D2F" w:rsidRPr="00DE697C">
        <w:rPr>
          <w:sz w:val="28"/>
        </w:rPr>
        <w:t xml:space="preserve"> </w:t>
      </w:r>
    </w:p>
    <w:p w14:paraId="09FE2BE1" w14:textId="77777777" w:rsidR="00DE697C" w:rsidRDefault="00DE697C" w:rsidP="00DE697C">
      <w:pPr>
        <w:pStyle w:val="Title"/>
        <w:tabs>
          <w:tab w:val="left" w:pos="7513"/>
        </w:tabs>
        <w:spacing w:before="0"/>
        <w:ind w:left="0" w:right="95"/>
        <w:jc w:val="both"/>
        <w:rPr>
          <w:spacing w:val="-2"/>
        </w:rPr>
      </w:pPr>
    </w:p>
    <w:p w14:paraId="6A9F7CC9" w14:textId="4532F9F4" w:rsidR="006327E4" w:rsidRPr="00DE697C" w:rsidRDefault="00EA3594" w:rsidP="00DE697C">
      <w:pPr>
        <w:pStyle w:val="Title"/>
        <w:tabs>
          <w:tab w:val="left" w:pos="7513"/>
        </w:tabs>
        <w:spacing w:before="0"/>
        <w:ind w:left="0" w:right="95"/>
        <w:jc w:val="both"/>
      </w:pPr>
      <w:r w:rsidRPr="00DE697C">
        <w:rPr>
          <w:spacing w:val="-2"/>
        </w:rPr>
        <w:t>Ni Made Priwinandari</w:t>
      </w:r>
      <w:r w:rsidRPr="00DE697C">
        <w:rPr>
          <w:spacing w:val="-2"/>
          <w:vertAlign w:val="superscript"/>
        </w:rPr>
        <w:t>1</w:t>
      </w:r>
      <w:r w:rsidR="00DE697C">
        <w:rPr>
          <w:spacing w:val="-2"/>
          <w:vertAlign w:val="superscript"/>
        </w:rPr>
        <w:t>*</w:t>
      </w:r>
      <w:r w:rsidR="00DE697C">
        <w:rPr>
          <w:spacing w:val="-2"/>
        </w:rPr>
        <w:t>,</w:t>
      </w:r>
      <w:r w:rsidRPr="00DE697C">
        <w:rPr>
          <w:spacing w:val="-16"/>
        </w:rPr>
        <w:t xml:space="preserve"> </w:t>
      </w:r>
      <w:r w:rsidRPr="00DE697C">
        <w:t>Anak Agung Mas Putrawati</w:t>
      </w:r>
      <w:r w:rsidRPr="00DE697C">
        <w:rPr>
          <w:spacing w:val="-2"/>
        </w:rPr>
        <w:t xml:space="preserve"> Triningrat</w:t>
      </w:r>
      <w:r w:rsidRPr="00DE697C">
        <w:rPr>
          <w:spacing w:val="-2"/>
          <w:vertAlign w:val="superscript"/>
        </w:rPr>
        <w:t>2</w:t>
      </w:r>
      <w:r w:rsidR="00DE697C">
        <w:rPr>
          <w:spacing w:val="-2"/>
        </w:rPr>
        <w:t>,</w:t>
      </w:r>
      <w:r w:rsidRPr="00DE697C">
        <w:rPr>
          <w:spacing w:val="-13"/>
        </w:rPr>
        <w:t xml:space="preserve"> </w:t>
      </w:r>
      <w:r w:rsidRPr="00DE697C">
        <w:t>Putu Yuliawati</w:t>
      </w:r>
      <w:r w:rsidR="00DE697C">
        <w:rPr>
          <w:spacing w:val="-2"/>
          <w:vertAlign w:val="superscript"/>
        </w:rPr>
        <w:t>3</w:t>
      </w:r>
      <w:r w:rsidR="00DE697C">
        <w:rPr>
          <w:spacing w:val="-2"/>
        </w:rPr>
        <w:t>,</w:t>
      </w:r>
      <w:r w:rsidRPr="00DE697C">
        <w:rPr>
          <w:spacing w:val="-2"/>
        </w:rPr>
        <w:t xml:space="preserve"> </w:t>
      </w:r>
      <w:r w:rsidRPr="00DE697C">
        <w:t>Ni Made Laksmi Utari</w:t>
      </w:r>
      <w:r w:rsidR="00DE697C">
        <w:rPr>
          <w:vertAlign w:val="superscript"/>
        </w:rPr>
        <w:t>4</w:t>
      </w:r>
    </w:p>
    <w:p w14:paraId="0383205C" w14:textId="2F4F85D2" w:rsidR="006327E4" w:rsidRPr="00DE697C" w:rsidRDefault="00CB5E53" w:rsidP="00DE697C">
      <w:pPr>
        <w:pStyle w:val="Heading1"/>
        <w:tabs>
          <w:tab w:val="left" w:pos="7513"/>
        </w:tabs>
        <w:spacing w:line="240" w:lineRule="auto"/>
        <w:ind w:left="0" w:right="95"/>
        <w:jc w:val="both"/>
      </w:pPr>
      <w:r w:rsidRPr="00DE697C">
        <w:rPr>
          <w:i/>
        </w:rPr>
        <w:t>The</w:t>
      </w:r>
      <w:r w:rsidRPr="00DE697C">
        <w:rPr>
          <w:i/>
          <w:spacing w:val="-8"/>
        </w:rPr>
        <w:t xml:space="preserve"> </w:t>
      </w:r>
      <w:r w:rsidRPr="00DE697C">
        <w:rPr>
          <w:i/>
        </w:rPr>
        <w:t>Undergraduate</w:t>
      </w:r>
      <w:r w:rsidRPr="00DE697C">
        <w:rPr>
          <w:i/>
          <w:spacing w:val="-8"/>
        </w:rPr>
        <w:t xml:space="preserve"> </w:t>
      </w:r>
      <w:r w:rsidRPr="00DE697C">
        <w:rPr>
          <w:i/>
        </w:rPr>
        <w:t>Medical</w:t>
      </w:r>
      <w:r w:rsidRPr="00DE697C">
        <w:rPr>
          <w:i/>
          <w:spacing w:val="-7"/>
        </w:rPr>
        <w:t xml:space="preserve"> </w:t>
      </w:r>
      <w:r w:rsidRPr="00DE697C">
        <w:rPr>
          <w:i/>
        </w:rPr>
        <w:t>Study</w:t>
      </w:r>
      <w:r w:rsidRPr="00DE697C">
        <w:rPr>
          <w:i/>
          <w:spacing w:val="-7"/>
        </w:rPr>
        <w:t xml:space="preserve"> </w:t>
      </w:r>
      <w:r w:rsidRPr="00DE697C">
        <w:rPr>
          <w:i/>
        </w:rPr>
        <w:t>Program</w:t>
      </w:r>
      <w:r w:rsidR="00D15337" w:rsidRPr="00DE697C">
        <w:rPr>
          <w:i/>
        </w:rPr>
        <w:t>.</w:t>
      </w:r>
      <w:r w:rsidRPr="00DE697C">
        <w:rPr>
          <w:i/>
          <w:spacing w:val="-8"/>
        </w:rPr>
        <w:t xml:space="preserve"> </w:t>
      </w:r>
      <w:r w:rsidRPr="00DE697C">
        <w:rPr>
          <w:i/>
        </w:rPr>
        <w:t>Faculty</w:t>
      </w:r>
      <w:r w:rsidRPr="00DE697C">
        <w:rPr>
          <w:i/>
          <w:spacing w:val="-7"/>
        </w:rPr>
        <w:t xml:space="preserve"> </w:t>
      </w:r>
      <w:r w:rsidRPr="00DE697C">
        <w:rPr>
          <w:i/>
        </w:rPr>
        <w:t>of</w:t>
      </w:r>
      <w:r w:rsidRPr="00DE697C">
        <w:rPr>
          <w:i/>
          <w:spacing w:val="-7"/>
        </w:rPr>
        <w:t xml:space="preserve"> </w:t>
      </w:r>
      <w:r w:rsidRPr="00DE697C">
        <w:rPr>
          <w:i/>
        </w:rPr>
        <w:t>Medicine</w:t>
      </w:r>
      <w:r w:rsidR="00DE697C" w:rsidRPr="00DE697C">
        <w:t>,</w:t>
      </w:r>
      <w:r w:rsidRPr="00DE697C">
        <w:rPr>
          <w:spacing w:val="-8"/>
        </w:rPr>
        <w:t xml:space="preserve"> </w:t>
      </w:r>
      <w:r w:rsidR="00941E45" w:rsidRPr="00DE697C">
        <w:t>Universitas Udayana</w:t>
      </w:r>
      <w:r w:rsidR="00D15337" w:rsidRPr="00DE697C">
        <w:t>.</w:t>
      </w:r>
      <w:r w:rsidRPr="00DE697C">
        <w:rPr>
          <w:spacing w:val="-6"/>
        </w:rPr>
        <w:t xml:space="preserve"> </w:t>
      </w:r>
      <w:r w:rsidRPr="00DE697C">
        <w:rPr>
          <w:spacing w:val="-4"/>
        </w:rPr>
        <w:t>Bali</w:t>
      </w:r>
      <w:r w:rsidR="00DE697C" w:rsidRPr="00DE697C">
        <w:rPr>
          <w:bCs/>
          <w:vertAlign w:val="superscript"/>
        </w:rPr>
        <w:t>1</w:t>
      </w:r>
    </w:p>
    <w:p w14:paraId="7D226B05" w14:textId="65C184F3" w:rsidR="002D2182" w:rsidRPr="00DE697C" w:rsidRDefault="00CB5E53" w:rsidP="00DE697C">
      <w:pPr>
        <w:tabs>
          <w:tab w:val="left" w:pos="7513"/>
        </w:tabs>
        <w:ind w:right="95"/>
        <w:jc w:val="both"/>
      </w:pPr>
      <w:r w:rsidRPr="00DE697C">
        <w:rPr>
          <w:i/>
        </w:rPr>
        <w:t>Department</w:t>
      </w:r>
      <w:r w:rsidRPr="00DE697C">
        <w:rPr>
          <w:i/>
          <w:spacing w:val="-12"/>
        </w:rPr>
        <w:t xml:space="preserve"> </w:t>
      </w:r>
      <w:r w:rsidRPr="00DE697C">
        <w:rPr>
          <w:i/>
        </w:rPr>
        <w:t>of</w:t>
      </w:r>
      <w:r w:rsidRPr="00DE697C">
        <w:rPr>
          <w:i/>
          <w:spacing w:val="-7"/>
        </w:rPr>
        <w:t xml:space="preserve"> </w:t>
      </w:r>
      <w:r w:rsidR="00190F98" w:rsidRPr="00DE697C">
        <w:rPr>
          <w:i/>
        </w:rPr>
        <w:t>Op</w:t>
      </w:r>
      <w:r w:rsidR="00750332" w:rsidRPr="00DE697C">
        <w:rPr>
          <w:i/>
        </w:rPr>
        <w:t>h</w:t>
      </w:r>
      <w:r w:rsidR="00190F98" w:rsidRPr="00DE697C">
        <w:rPr>
          <w:i/>
        </w:rPr>
        <w:t>thamology</w:t>
      </w:r>
      <w:r w:rsidR="00D15337" w:rsidRPr="00DE697C">
        <w:rPr>
          <w:i/>
        </w:rPr>
        <w:t>.</w:t>
      </w:r>
      <w:r w:rsidRPr="00DE697C">
        <w:rPr>
          <w:i/>
          <w:spacing w:val="-8"/>
        </w:rPr>
        <w:t xml:space="preserve"> </w:t>
      </w:r>
      <w:r w:rsidRPr="00DE697C">
        <w:rPr>
          <w:i/>
        </w:rPr>
        <w:t>Faculty</w:t>
      </w:r>
      <w:r w:rsidRPr="00DE697C">
        <w:rPr>
          <w:i/>
          <w:spacing w:val="-7"/>
        </w:rPr>
        <w:t xml:space="preserve"> </w:t>
      </w:r>
      <w:r w:rsidRPr="00DE697C">
        <w:rPr>
          <w:i/>
        </w:rPr>
        <w:t>of</w:t>
      </w:r>
      <w:r w:rsidRPr="00DE697C">
        <w:rPr>
          <w:i/>
          <w:spacing w:val="-8"/>
        </w:rPr>
        <w:t xml:space="preserve"> </w:t>
      </w:r>
      <w:r w:rsidRPr="00DE697C">
        <w:rPr>
          <w:i/>
        </w:rPr>
        <w:t>Medicine</w:t>
      </w:r>
      <w:r w:rsidR="00DE697C" w:rsidRPr="00DE697C">
        <w:t xml:space="preserve">, </w:t>
      </w:r>
      <w:r w:rsidR="00941E45" w:rsidRPr="00DE697C">
        <w:t>Universitas Udayana</w:t>
      </w:r>
      <w:r w:rsidR="00D15337" w:rsidRPr="00DE697C">
        <w:t>.</w:t>
      </w:r>
      <w:r w:rsidRPr="00DE697C">
        <w:rPr>
          <w:spacing w:val="-7"/>
        </w:rPr>
        <w:t xml:space="preserve"> </w:t>
      </w:r>
      <w:r w:rsidRPr="00DE697C">
        <w:rPr>
          <w:spacing w:val="-4"/>
        </w:rPr>
        <w:t>Bali</w:t>
      </w:r>
      <w:r w:rsidR="00DE697C" w:rsidRPr="00DE697C">
        <w:rPr>
          <w:vertAlign w:val="superscript"/>
        </w:rPr>
        <w:t>2,3,4</w:t>
      </w:r>
    </w:p>
    <w:p w14:paraId="555F977B" w14:textId="03ADFF97" w:rsidR="006327E4" w:rsidRPr="00DE697C" w:rsidRDefault="002D2182" w:rsidP="00DE697C">
      <w:pPr>
        <w:pStyle w:val="BodyText"/>
        <w:tabs>
          <w:tab w:val="left" w:pos="7513"/>
        </w:tabs>
        <w:ind w:right="95"/>
        <w:rPr>
          <w:sz w:val="22"/>
          <w:szCs w:val="22"/>
        </w:rPr>
      </w:pPr>
      <w:r w:rsidRPr="00DE697C">
        <w:rPr>
          <w:i/>
          <w:sz w:val="22"/>
          <w:szCs w:val="22"/>
          <w:highlight w:val="white"/>
        </w:rPr>
        <w:t>*Corresponding Author</w:t>
      </w:r>
      <w:r w:rsidRPr="00345017">
        <w:rPr>
          <w:i/>
          <w:sz w:val="22"/>
          <w:szCs w:val="22"/>
        </w:rPr>
        <w:t xml:space="preserve"> : </w:t>
      </w:r>
      <w:hyperlink r:id="rId7" w:history="1">
        <w:r w:rsidR="00EA3594" w:rsidRPr="00DE697C">
          <w:rPr>
            <w:rStyle w:val="Hyperlink"/>
            <w:color w:val="auto"/>
            <w:spacing w:val="-8"/>
            <w:sz w:val="22"/>
            <w:szCs w:val="22"/>
            <w:u w:val="none"/>
          </w:rPr>
          <w:t>priwinandari@gmail.com</w:t>
        </w:r>
      </w:hyperlink>
    </w:p>
    <w:p w14:paraId="559D5A8D" w14:textId="77777777" w:rsidR="002D2182" w:rsidRPr="00DE697C" w:rsidRDefault="002D2182" w:rsidP="00DE697C">
      <w:pPr>
        <w:pStyle w:val="Heading2"/>
        <w:tabs>
          <w:tab w:val="left" w:pos="7513"/>
        </w:tabs>
        <w:ind w:left="0" w:right="95" w:firstLine="0"/>
        <w:jc w:val="both"/>
        <w:rPr>
          <w:spacing w:val="-2"/>
          <w:sz w:val="24"/>
          <w:szCs w:val="24"/>
        </w:rPr>
      </w:pPr>
    </w:p>
    <w:p w14:paraId="3C808300" w14:textId="77777777" w:rsidR="00DE697C" w:rsidRPr="00DE697C" w:rsidRDefault="00DE697C" w:rsidP="00DE697C">
      <w:pPr>
        <w:tabs>
          <w:tab w:val="left" w:pos="7513"/>
        </w:tabs>
        <w:ind w:right="95"/>
        <w:jc w:val="both"/>
        <w:rPr>
          <w:b/>
          <w:sz w:val="24"/>
          <w:szCs w:val="24"/>
        </w:rPr>
      </w:pPr>
      <w:r w:rsidRPr="00DE697C">
        <w:rPr>
          <w:b/>
          <w:spacing w:val="-2"/>
          <w:sz w:val="24"/>
          <w:szCs w:val="24"/>
        </w:rPr>
        <w:t>ABSTRAK</w:t>
      </w:r>
    </w:p>
    <w:p w14:paraId="292E764F" w14:textId="5DFBE53E" w:rsidR="00DE697C" w:rsidRPr="00DE697C" w:rsidRDefault="00DE697C" w:rsidP="00DE697C">
      <w:pPr>
        <w:pStyle w:val="BodyText"/>
        <w:tabs>
          <w:tab w:val="left" w:pos="7513"/>
        </w:tabs>
        <w:ind w:right="95"/>
        <w:rPr>
          <w:sz w:val="22"/>
          <w:szCs w:val="22"/>
        </w:rPr>
      </w:pPr>
      <w:r w:rsidRPr="00DE697C">
        <w:rPr>
          <w:i/>
          <w:iCs/>
          <w:sz w:val="22"/>
          <w:szCs w:val="22"/>
        </w:rPr>
        <w:t>Traumatic optic neuropathy</w:t>
      </w:r>
      <w:r w:rsidRPr="00DE697C">
        <w:rPr>
          <w:sz w:val="22"/>
          <w:szCs w:val="22"/>
        </w:rPr>
        <w:t xml:space="preserve"> (TON) adalah kondisi langka yang dapat mengancam fungsi penglihatan hingga menyebabkan kebutaan. sering kali akibat cedera pada mata atau kepala. Kondisi ini berhubungan erat dengan cedera kraniofasial yang dapat merusak saraf optik secara langsung maupun tidak langsung. Penanganan TON masih kontroversial dan memerlukan pemahaman lebih lanjut mengenai karakteristik pasien untuk mengoptimalkan perawatan dan pengobatan. Penelitian ini bertujuan untuk mengetahui karakteristik pasien dengan traumatic optic neuropathy di RSUP Prof. Dr. I.G.N.G. Ngoerah Denpasar selama tahun 2022-2023. dengan fokus pada faktor-faktor seperti jenis kelamin. usia. domisili. visus awal dan akhir. jenis cedera. jenis trauma. mekanisme trauma. dan tatalaksana. Penelitian ini menggunakan desain studi potong lintang (cross-sectional). Data dikumpulkan dari rekam medis pasien yang memenuhi kriteria inklusi di RSUP Prof. Dr. I.G.N.G. Ngoerah Denpasar pada periode 2022-2023. Pengolahan data dilakukan secara deskriptif dengan total sampling untuk memperoleh gambaran yang representatif. Mayoritas pasien adalah laki-laki (94.7%) dengan rentang usia terbanyak 19-59 tahun (73.7%). Sebagian besar pasien berasal dari daerah Tabanan (31.6%). Visus awal dan akhir pasien lebih banyak terdeteksi pada rentang 6/60 hingga 1/60 (31.6%). Cedera kepala disertai trauma maksilofasial dan fraktur dasar tengkorak merupakan jenis cedera yang paling umum. dengan kecelakaan lalu lintas sebagai mekanisme trauma utama (68.4%). Penggunaan steroid menjadi tatalaksana yang paling umum (47.4%). </w:t>
      </w:r>
      <w:r w:rsidRPr="00EA0153">
        <w:rPr>
          <w:i/>
          <w:sz w:val="22"/>
          <w:szCs w:val="22"/>
        </w:rPr>
        <w:t>Traumatic optic neuropathy</w:t>
      </w:r>
      <w:r w:rsidRPr="00DE697C">
        <w:rPr>
          <w:sz w:val="22"/>
          <w:szCs w:val="22"/>
        </w:rPr>
        <w:t xml:space="preserve"> lebih sering terjadi pada laki-laki dengan usia produktif dan sering kali disebabkan oleh kecelakaan lalu lintas. Penurunan visus yang signifikan terjadi pada sebagian besar pasien. dan tatalaksana menggunakan steroid masih menjadi pilihan utama meskipun pengobatan lebih lanjut masih membutuhkan penelitian lebih mendalam</w:t>
      </w:r>
      <w:r w:rsidR="002F16E1">
        <w:rPr>
          <w:sz w:val="22"/>
          <w:szCs w:val="22"/>
        </w:rPr>
        <w:t>.</w:t>
      </w:r>
      <w:r w:rsidR="00251E15">
        <w:rPr>
          <w:sz w:val="22"/>
          <w:szCs w:val="22"/>
        </w:rPr>
        <w:t xml:space="preserve"> </w:t>
      </w:r>
      <w:r w:rsidR="00CF43F2">
        <w:rPr>
          <w:sz w:val="22"/>
          <w:szCs w:val="22"/>
        </w:rPr>
        <w:t xml:space="preserve"> </w:t>
      </w:r>
      <w:bookmarkStart w:id="0" w:name="_GoBack"/>
      <w:bookmarkEnd w:id="0"/>
    </w:p>
    <w:p w14:paraId="63F1E1D9" w14:textId="77777777" w:rsidR="00DE697C" w:rsidRPr="00DE697C" w:rsidRDefault="00DE697C" w:rsidP="00DE697C">
      <w:pPr>
        <w:pStyle w:val="BodyText"/>
        <w:tabs>
          <w:tab w:val="left" w:pos="7513"/>
        </w:tabs>
        <w:ind w:right="95"/>
        <w:rPr>
          <w:sz w:val="22"/>
          <w:szCs w:val="22"/>
        </w:rPr>
      </w:pPr>
    </w:p>
    <w:p w14:paraId="7A63A3CD" w14:textId="249A7CE0" w:rsidR="00DE697C" w:rsidRDefault="00DE697C" w:rsidP="00DE697C">
      <w:pPr>
        <w:pStyle w:val="Heading2"/>
        <w:tabs>
          <w:tab w:val="left" w:pos="7513"/>
        </w:tabs>
        <w:ind w:left="1276" w:right="95" w:hanging="1276"/>
        <w:jc w:val="both"/>
        <w:rPr>
          <w:b w:val="0"/>
          <w:bCs w:val="0"/>
          <w:sz w:val="22"/>
          <w:szCs w:val="22"/>
        </w:rPr>
      </w:pPr>
      <w:r w:rsidRPr="00DE697C">
        <w:rPr>
          <w:spacing w:val="-6"/>
          <w:sz w:val="22"/>
          <w:szCs w:val="22"/>
        </w:rPr>
        <w:t>Kata</w:t>
      </w:r>
      <w:r w:rsidRPr="00DE697C">
        <w:rPr>
          <w:spacing w:val="-16"/>
          <w:sz w:val="22"/>
          <w:szCs w:val="22"/>
        </w:rPr>
        <w:t xml:space="preserve"> </w:t>
      </w:r>
      <w:r w:rsidRPr="00DE697C">
        <w:rPr>
          <w:spacing w:val="-6"/>
          <w:sz w:val="22"/>
          <w:szCs w:val="22"/>
        </w:rPr>
        <w:t>kunc</w:t>
      </w:r>
      <w:r w:rsidRPr="00DE697C">
        <w:rPr>
          <w:spacing w:val="-15"/>
          <w:sz w:val="22"/>
          <w:szCs w:val="22"/>
        </w:rPr>
        <w:t>i</w:t>
      </w:r>
      <w:r>
        <w:rPr>
          <w:spacing w:val="-15"/>
          <w:sz w:val="22"/>
          <w:szCs w:val="22"/>
        </w:rPr>
        <w:tab/>
      </w:r>
      <w:r w:rsidRPr="00DE697C">
        <w:rPr>
          <w:iCs/>
          <w:spacing w:val="-6"/>
          <w:sz w:val="22"/>
          <w:szCs w:val="22"/>
        </w:rPr>
        <w:t>:</w:t>
      </w:r>
      <w:r w:rsidRPr="00DE697C">
        <w:rPr>
          <w:iCs/>
          <w:sz w:val="22"/>
          <w:szCs w:val="22"/>
        </w:rPr>
        <w:t xml:space="preserve"> </w:t>
      </w:r>
      <w:r w:rsidRPr="00DE697C">
        <w:rPr>
          <w:b w:val="0"/>
          <w:bCs w:val="0"/>
          <w:iCs/>
          <w:sz w:val="22"/>
          <w:szCs w:val="22"/>
        </w:rPr>
        <w:t>c</w:t>
      </w:r>
      <w:r w:rsidRPr="00DE697C">
        <w:rPr>
          <w:b w:val="0"/>
          <w:bCs w:val="0"/>
          <w:sz w:val="22"/>
          <w:szCs w:val="22"/>
        </w:rPr>
        <w:t>edera kepala</w:t>
      </w:r>
      <w:r>
        <w:rPr>
          <w:b w:val="0"/>
          <w:bCs w:val="0"/>
          <w:sz w:val="22"/>
          <w:szCs w:val="22"/>
        </w:rPr>
        <w:t xml:space="preserve">, </w:t>
      </w:r>
      <w:r w:rsidRPr="00DE697C">
        <w:rPr>
          <w:b w:val="0"/>
          <w:bCs w:val="0"/>
          <w:sz w:val="22"/>
          <w:szCs w:val="22"/>
        </w:rPr>
        <w:t>karakteristik pasien</w:t>
      </w:r>
      <w:r>
        <w:rPr>
          <w:b w:val="0"/>
          <w:bCs w:val="0"/>
          <w:sz w:val="22"/>
          <w:szCs w:val="22"/>
        </w:rPr>
        <w:t xml:space="preserve">, </w:t>
      </w:r>
      <w:r w:rsidRPr="00DE697C">
        <w:rPr>
          <w:b w:val="0"/>
          <w:bCs w:val="0"/>
          <w:sz w:val="22"/>
          <w:szCs w:val="22"/>
        </w:rPr>
        <w:t>kecelakaan lalu lintas</w:t>
      </w:r>
      <w:r>
        <w:rPr>
          <w:b w:val="0"/>
          <w:bCs w:val="0"/>
          <w:sz w:val="22"/>
          <w:szCs w:val="22"/>
        </w:rPr>
        <w:t xml:space="preserve">, </w:t>
      </w:r>
      <w:r w:rsidR="00345017" w:rsidRPr="00DE697C">
        <w:rPr>
          <w:b w:val="0"/>
          <w:bCs w:val="0"/>
          <w:sz w:val="22"/>
          <w:szCs w:val="22"/>
        </w:rPr>
        <w:t>tatalaksana</w:t>
      </w:r>
      <w:r w:rsidR="00345017">
        <w:rPr>
          <w:b w:val="0"/>
          <w:bCs w:val="0"/>
          <w:sz w:val="22"/>
          <w:szCs w:val="22"/>
        </w:rPr>
        <w:t xml:space="preserve">, </w:t>
      </w:r>
      <w:r w:rsidRPr="00DE697C">
        <w:rPr>
          <w:b w:val="0"/>
          <w:bCs w:val="0"/>
          <w:i/>
          <w:iCs/>
          <w:sz w:val="22"/>
          <w:szCs w:val="22"/>
        </w:rPr>
        <w:t>traumatic optic neuropathy</w:t>
      </w:r>
      <w:r>
        <w:rPr>
          <w:b w:val="0"/>
          <w:bCs w:val="0"/>
          <w:sz w:val="22"/>
          <w:szCs w:val="22"/>
        </w:rPr>
        <w:t xml:space="preserve">, </w:t>
      </w:r>
      <w:r w:rsidRPr="00DE697C">
        <w:rPr>
          <w:b w:val="0"/>
          <w:bCs w:val="0"/>
          <w:sz w:val="22"/>
          <w:szCs w:val="22"/>
        </w:rPr>
        <w:t>visus</w:t>
      </w:r>
    </w:p>
    <w:p w14:paraId="3BE7B1CD" w14:textId="77777777" w:rsidR="00DE697C" w:rsidRDefault="00DE697C" w:rsidP="00DE697C">
      <w:pPr>
        <w:pStyle w:val="Heading2"/>
        <w:tabs>
          <w:tab w:val="left" w:pos="7513"/>
        </w:tabs>
        <w:ind w:left="1276" w:right="95" w:hanging="1276"/>
        <w:jc w:val="both"/>
        <w:rPr>
          <w:spacing w:val="-2"/>
          <w:sz w:val="24"/>
          <w:szCs w:val="24"/>
        </w:rPr>
      </w:pPr>
    </w:p>
    <w:p w14:paraId="5F548ABA" w14:textId="5B8FEF99" w:rsidR="006327E4" w:rsidRPr="00DE697C" w:rsidRDefault="00CB5E53" w:rsidP="00DE697C">
      <w:pPr>
        <w:pStyle w:val="Heading2"/>
        <w:tabs>
          <w:tab w:val="left" w:pos="7513"/>
        </w:tabs>
        <w:ind w:left="1276" w:right="95" w:hanging="1276"/>
        <w:jc w:val="both"/>
        <w:rPr>
          <w:i/>
          <w:sz w:val="24"/>
          <w:szCs w:val="22"/>
        </w:rPr>
      </w:pPr>
      <w:r w:rsidRPr="00DE697C">
        <w:rPr>
          <w:i/>
          <w:spacing w:val="-2"/>
          <w:sz w:val="24"/>
          <w:szCs w:val="22"/>
        </w:rPr>
        <w:t>ABSTRACT</w:t>
      </w:r>
    </w:p>
    <w:p w14:paraId="57A85E3B" w14:textId="5AAE02E7" w:rsidR="006327E4" w:rsidRPr="00DE697C" w:rsidRDefault="00EA3594" w:rsidP="00DE697C">
      <w:pPr>
        <w:pStyle w:val="BodyText"/>
        <w:tabs>
          <w:tab w:val="left" w:pos="7513"/>
        </w:tabs>
        <w:ind w:right="95"/>
        <w:rPr>
          <w:i/>
          <w:sz w:val="22"/>
          <w:szCs w:val="22"/>
        </w:rPr>
      </w:pPr>
      <w:r w:rsidRPr="00DE697C">
        <w:rPr>
          <w:i/>
          <w:sz w:val="22"/>
          <w:szCs w:val="22"/>
        </w:rPr>
        <w:t>Traumatic optic neuropathy (TON) is a rare condition that can threaten visual function and lead to blindness</w:t>
      </w:r>
      <w:r w:rsidR="00D15337" w:rsidRPr="00DE697C">
        <w:rPr>
          <w:i/>
          <w:sz w:val="22"/>
          <w:szCs w:val="22"/>
        </w:rPr>
        <w:t>.</w:t>
      </w:r>
      <w:r w:rsidRPr="00DE697C">
        <w:rPr>
          <w:i/>
          <w:sz w:val="22"/>
          <w:szCs w:val="22"/>
        </w:rPr>
        <w:t xml:space="preserve"> often as a result of injury to the eye or head. It is closely associated with craniofacial injuries that can damage the optic nerve directly or indirectly. The management of TON is controversial and requires further understanding of patient characteristics to optimize care and treatment. This study aims to determine the characteristics of patients with traumatic optic neuropathy at Prof. Dr. I.G.N.G. Ngoerah Denpasar Hospital during 2022-2023</w:t>
      </w:r>
      <w:r w:rsidR="00D15337" w:rsidRPr="00DE697C">
        <w:rPr>
          <w:i/>
          <w:sz w:val="22"/>
          <w:szCs w:val="22"/>
        </w:rPr>
        <w:t>.</w:t>
      </w:r>
      <w:r w:rsidRPr="00DE697C">
        <w:rPr>
          <w:i/>
          <w:sz w:val="22"/>
          <w:szCs w:val="22"/>
        </w:rPr>
        <w:t xml:space="preserve"> The results showed that the majority of patients were male (94.7%) with the highest age range of 19-59 years (73.7%). Most patients were from the Tabanan area (31.6%). The initial and final visus of the patients were mostly detected in the range of 6/60 to 1/60 (31.6%). Head injury with maxillofacial trauma and skull base fracture was the most common type of injury</w:t>
      </w:r>
      <w:r w:rsidR="00D15337" w:rsidRPr="00DE697C">
        <w:rPr>
          <w:i/>
          <w:sz w:val="22"/>
          <w:szCs w:val="22"/>
        </w:rPr>
        <w:t>.</w:t>
      </w:r>
      <w:r w:rsidRPr="00DE697C">
        <w:rPr>
          <w:i/>
          <w:sz w:val="22"/>
          <w:szCs w:val="22"/>
        </w:rPr>
        <w:t xml:space="preserve"> with traffic accidents as the main trauma mechanism (68.4%). Steroid use was the most common management (47.4%). Traumatic optic neuropathy is more common in males of productive age and is often caused by traffic accidents. Significant visual impairment occurs in the majority of patients</w:t>
      </w:r>
      <w:r w:rsidR="00D15337" w:rsidRPr="00DE697C">
        <w:rPr>
          <w:i/>
          <w:sz w:val="22"/>
          <w:szCs w:val="22"/>
        </w:rPr>
        <w:t>.</w:t>
      </w:r>
      <w:r w:rsidRPr="00DE697C">
        <w:rPr>
          <w:i/>
          <w:sz w:val="22"/>
          <w:szCs w:val="22"/>
        </w:rPr>
        <w:t xml:space="preserve"> and steroid treatment is still the main option although further research is needed</w:t>
      </w:r>
      <w:r w:rsidR="000352D5">
        <w:rPr>
          <w:i/>
          <w:sz w:val="22"/>
          <w:szCs w:val="22"/>
        </w:rPr>
        <w:t>.</w:t>
      </w:r>
    </w:p>
    <w:p w14:paraId="5562E47F" w14:textId="77777777" w:rsidR="00941E45" w:rsidRPr="00DE697C" w:rsidRDefault="00941E45" w:rsidP="00DE697C">
      <w:pPr>
        <w:pStyle w:val="Heading2"/>
        <w:tabs>
          <w:tab w:val="left" w:pos="7513"/>
        </w:tabs>
        <w:ind w:left="0" w:right="95"/>
        <w:jc w:val="both"/>
        <w:rPr>
          <w:i/>
          <w:iCs/>
          <w:spacing w:val="-8"/>
          <w:sz w:val="22"/>
          <w:szCs w:val="22"/>
        </w:rPr>
      </w:pPr>
    </w:p>
    <w:p w14:paraId="6E887692" w14:textId="252829B6" w:rsidR="006327E4" w:rsidRPr="00DE697C" w:rsidRDefault="00CB5E53" w:rsidP="00DE697C">
      <w:pPr>
        <w:pStyle w:val="Heading2"/>
        <w:tabs>
          <w:tab w:val="left" w:pos="7513"/>
        </w:tabs>
        <w:ind w:left="1276" w:right="95" w:hanging="1276"/>
        <w:jc w:val="both"/>
        <w:rPr>
          <w:b w:val="0"/>
          <w:i/>
          <w:sz w:val="22"/>
          <w:szCs w:val="22"/>
        </w:rPr>
      </w:pPr>
      <w:r w:rsidRPr="00DE697C">
        <w:rPr>
          <w:i/>
          <w:iCs/>
          <w:spacing w:val="-8"/>
          <w:sz w:val="22"/>
          <w:szCs w:val="22"/>
        </w:rPr>
        <w:t>Keywords</w:t>
      </w:r>
      <w:r w:rsidR="00DE697C">
        <w:rPr>
          <w:i/>
          <w:iCs/>
          <w:spacing w:val="-8"/>
          <w:sz w:val="22"/>
          <w:szCs w:val="22"/>
        </w:rPr>
        <w:tab/>
      </w:r>
      <w:r w:rsidRPr="00DE697C">
        <w:rPr>
          <w:i/>
          <w:iCs/>
          <w:spacing w:val="-8"/>
          <w:sz w:val="22"/>
          <w:szCs w:val="22"/>
        </w:rPr>
        <w:t>:</w:t>
      </w:r>
      <w:r w:rsidRPr="00DE697C">
        <w:rPr>
          <w:i/>
          <w:spacing w:val="-7"/>
          <w:sz w:val="22"/>
          <w:szCs w:val="22"/>
        </w:rPr>
        <w:t xml:space="preserve"> </w:t>
      </w:r>
      <w:r w:rsidR="00941E45" w:rsidRPr="00DE697C">
        <w:rPr>
          <w:rStyle w:val="rynqvb"/>
          <w:b w:val="0"/>
          <w:bCs w:val="0"/>
          <w:i/>
          <w:sz w:val="22"/>
          <w:szCs w:val="22"/>
          <w:lang w:val="en"/>
        </w:rPr>
        <w:t>head injury</w:t>
      </w:r>
      <w:r w:rsidR="00DE697C">
        <w:rPr>
          <w:rStyle w:val="rynqvb"/>
          <w:b w:val="0"/>
          <w:bCs w:val="0"/>
          <w:i/>
          <w:sz w:val="22"/>
          <w:szCs w:val="22"/>
          <w:lang w:val="en"/>
        </w:rPr>
        <w:t>,</w:t>
      </w:r>
      <w:r w:rsidR="00941E45" w:rsidRPr="00DE697C">
        <w:rPr>
          <w:rStyle w:val="rynqvb"/>
          <w:b w:val="0"/>
          <w:bCs w:val="0"/>
          <w:i/>
          <w:sz w:val="22"/>
          <w:szCs w:val="22"/>
          <w:lang w:val="en"/>
        </w:rPr>
        <w:t xml:space="preserve"> patient characteristics</w:t>
      </w:r>
      <w:r w:rsidR="00DE697C">
        <w:rPr>
          <w:rStyle w:val="rynqvb"/>
          <w:b w:val="0"/>
          <w:bCs w:val="0"/>
          <w:i/>
          <w:sz w:val="22"/>
          <w:szCs w:val="22"/>
          <w:lang w:val="en"/>
        </w:rPr>
        <w:t>,</w:t>
      </w:r>
      <w:r w:rsidR="00941E45" w:rsidRPr="00DE697C">
        <w:rPr>
          <w:rStyle w:val="rynqvb"/>
          <w:b w:val="0"/>
          <w:bCs w:val="0"/>
          <w:i/>
          <w:sz w:val="22"/>
          <w:szCs w:val="22"/>
          <w:lang w:val="en"/>
        </w:rPr>
        <w:t xml:space="preserve"> traffic accidents</w:t>
      </w:r>
      <w:r w:rsidR="00DE697C">
        <w:rPr>
          <w:rStyle w:val="rynqvb"/>
          <w:b w:val="0"/>
          <w:bCs w:val="0"/>
          <w:i/>
          <w:sz w:val="22"/>
          <w:szCs w:val="22"/>
          <w:lang w:val="en"/>
        </w:rPr>
        <w:t>, traumatic optic neuropath,</w:t>
      </w:r>
      <w:r w:rsidR="00D15337" w:rsidRPr="00DE697C">
        <w:rPr>
          <w:rStyle w:val="rynqvb"/>
          <w:b w:val="0"/>
          <w:bCs w:val="0"/>
          <w:i/>
          <w:sz w:val="22"/>
          <w:szCs w:val="22"/>
          <w:lang w:val="en"/>
        </w:rPr>
        <w:t>.</w:t>
      </w:r>
      <w:r w:rsidR="00941E45" w:rsidRPr="00DE697C">
        <w:rPr>
          <w:rStyle w:val="rynqvb"/>
          <w:b w:val="0"/>
          <w:bCs w:val="0"/>
          <w:i/>
          <w:sz w:val="22"/>
          <w:szCs w:val="22"/>
          <w:lang w:val="en"/>
        </w:rPr>
        <w:t xml:space="preserve"> </w:t>
      </w:r>
      <w:r w:rsidR="00DE697C" w:rsidRPr="00DE697C">
        <w:rPr>
          <w:rStyle w:val="rynqvb"/>
          <w:b w:val="0"/>
          <w:bCs w:val="0"/>
          <w:i/>
          <w:sz w:val="22"/>
          <w:szCs w:val="22"/>
          <w:lang w:val="en"/>
        </w:rPr>
        <w:t>M</w:t>
      </w:r>
      <w:r w:rsidR="00941E45" w:rsidRPr="00DE697C">
        <w:rPr>
          <w:rStyle w:val="rynqvb"/>
          <w:b w:val="0"/>
          <w:bCs w:val="0"/>
          <w:i/>
          <w:sz w:val="22"/>
          <w:szCs w:val="22"/>
          <w:lang w:val="en"/>
        </w:rPr>
        <w:t>anagement</w:t>
      </w:r>
      <w:r w:rsidR="00DE697C">
        <w:rPr>
          <w:rStyle w:val="rynqvb"/>
          <w:b w:val="0"/>
          <w:bCs w:val="0"/>
          <w:i/>
          <w:sz w:val="22"/>
          <w:szCs w:val="22"/>
          <w:lang w:val="en"/>
        </w:rPr>
        <w:t>,</w:t>
      </w:r>
      <w:r w:rsidR="00941E45" w:rsidRPr="00DE697C">
        <w:rPr>
          <w:rStyle w:val="rynqvb"/>
          <w:b w:val="0"/>
          <w:bCs w:val="0"/>
          <w:i/>
          <w:sz w:val="22"/>
          <w:szCs w:val="22"/>
          <w:lang w:val="en"/>
        </w:rPr>
        <w:t xml:space="preserve"> vision</w:t>
      </w:r>
    </w:p>
    <w:p w14:paraId="1B546CFB" w14:textId="77777777" w:rsidR="006327E4" w:rsidRPr="00DE697C" w:rsidRDefault="00CB5E53" w:rsidP="00DE697C">
      <w:pPr>
        <w:tabs>
          <w:tab w:val="left" w:pos="717"/>
          <w:tab w:val="left" w:pos="7513"/>
        </w:tabs>
        <w:ind w:right="95"/>
        <w:jc w:val="both"/>
        <w:rPr>
          <w:b/>
          <w:sz w:val="24"/>
          <w:szCs w:val="24"/>
        </w:rPr>
      </w:pPr>
      <w:r w:rsidRPr="00DE697C">
        <w:rPr>
          <w:b/>
          <w:spacing w:val="-2"/>
          <w:sz w:val="24"/>
          <w:szCs w:val="24"/>
        </w:rPr>
        <w:lastRenderedPageBreak/>
        <w:t>INTRODUCTION</w:t>
      </w:r>
    </w:p>
    <w:p w14:paraId="543ADE8F" w14:textId="77777777" w:rsidR="00DE697C" w:rsidRDefault="00A31BA5" w:rsidP="00DE697C">
      <w:pPr>
        <w:tabs>
          <w:tab w:val="left" w:pos="717"/>
          <w:tab w:val="left" w:pos="7513"/>
        </w:tabs>
        <w:ind w:right="95"/>
        <w:jc w:val="both"/>
        <w:rPr>
          <w:rStyle w:val="rynqvb"/>
          <w:sz w:val="24"/>
          <w:szCs w:val="24"/>
          <w:lang w:val="en"/>
        </w:rPr>
      </w:pPr>
      <w:r w:rsidRPr="00DE697C">
        <w:rPr>
          <w:rStyle w:val="rynqvb"/>
          <w:sz w:val="24"/>
          <w:szCs w:val="24"/>
          <w:lang w:val="en"/>
        </w:rPr>
        <w:tab/>
      </w:r>
    </w:p>
    <w:p w14:paraId="5FC87560" w14:textId="77777777" w:rsidR="00DE697C" w:rsidRDefault="00A31BA5" w:rsidP="00DE697C">
      <w:pPr>
        <w:tabs>
          <w:tab w:val="left" w:pos="717"/>
          <w:tab w:val="left" w:pos="7513"/>
        </w:tabs>
        <w:ind w:right="95" w:firstLine="426"/>
        <w:jc w:val="both"/>
        <w:rPr>
          <w:rStyle w:val="hwtze"/>
          <w:sz w:val="24"/>
          <w:szCs w:val="24"/>
          <w:lang w:val="en"/>
        </w:rPr>
      </w:pPr>
      <w:r w:rsidRPr="00DE697C">
        <w:rPr>
          <w:rStyle w:val="rynqvb"/>
          <w:sz w:val="24"/>
          <w:szCs w:val="24"/>
          <w:lang w:val="en"/>
        </w:rPr>
        <w:t>Traumatic Optic Neuropathy (TON) is a rare but very damaging condition in complications of closed head injury (Huang ., 2020).</w:t>
      </w:r>
      <w:r w:rsidRPr="00DE697C">
        <w:rPr>
          <w:rStyle w:val="hwtze"/>
          <w:sz w:val="24"/>
          <w:szCs w:val="24"/>
          <w:lang w:val="en"/>
        </w:rPr>
        <w:t xml:space="preserve"> </w:t>
      </w:r>
      <w:r w:rsidRPr="00DE697C">
        <w:rPr>
          <w:rStyle w:val="rynqvb"/>
          <w:sz w:val="24"/>
          <w:szCs w:val="24"/>
          <w:lang w:val="en"/>
        </w:rPr>
        <w:t>This rare condition has the potential to threaten visual function to the point of blindness caused by eye injury or head injury.</w:t>
      </w:r>
      <w:r w:rsidRPr="00DE697C">
        <w:rPr>
          <w:rStyle w:val="hwtze"/>
          <w:sz w:val="24"/>
          <w:szCs w:val="24"/>
          <w:lang w:val="en"/>
        </w:rPr>
        <w:t xml:space="preserve"> </w:t>
      </w:r>
      <w:r w:rsidRPr="00DE697C">
        <w:rPr>
          <w:rStyle w:val="rynqvb"/>
          <w:sz w:val="24"/>
          <w:szCs w:val="24"/>
          <w:lang w:val="en"/>
        </w:rPr>
        <w:t>TON has serious consequences for craniofacial injuries that can damage the optic nerve indirectly or directly.</w:t>
      </w:r>
      <w:r w:rsidRPr="00DE697C">
        <w:rPr>
          <w:rStyle w:val="hwtze"/>
          <w:sz w:val="24"/>
          <w:szCs w:val="24"/>
          <w:lang w:val="en"/>
        </w:rPr>
        <w:t xml:space="preserve"> </w:t>
      </w:r>
      <w:r w:rsidRPr="00DE697C">
        <w:rPr>
          <w:rStyle w:val="rynqvb"/>
          <w:sz w:val="24"/>
          <w:szCs w:val="24"/>
          <w:lang w:val="en"/>
        </w:rPr>
        <w:t>This causes visual acuity dysfunction, visual field disorders, color perception, and the presence of afferent pupillary defect (RAPD) (Mahayani et al., 2017).</w:t>
      </w:r>
      <w:r w:rsidRPr="00DE697C">
        <w:rPr>
          <w:rStyle w:val="hwtze"/>
          <w:sz w:val="24"/>
          <w:szCs w:val="24"/>
          <w:lang w:val="en"/>
        </w:rPr>
        <w:t xml:space="preserve"> </w:t>
      </w:r>
      <w:r w:rsidRPr="00DE697C">
        <w:rPr>
          <w:rStyle w:val="rynqvb"/>
          <w:sz w:val="24"/>
          <w:szCs w:val="24"/>
          <w:lang w:val="en"/>
        </w:rPr>
        <w:t>The specific causes are motorcycle accidents, head injuries due to falls, abuse, and stab wounds (Wijayati et al., 2021).</w:t>
      </w:r>
      <w:r w:rsidRPr="00DE697C">
        <w:rPr>
          <w:rStyle w:val="hwtze"/>
          <w:sz w:val="24"/>
          <w:szCs w:val="24"/>
          <w:lang w:val="en"/>
        </w:rPr>
        <w:t xml:space="preserve"> </w:t>
      </w:r>
    </w:p>
    <w:p w14:paraId="7D91B1EE" w14:textId="77777777" w:rsidR="00DE697C" w:rsidRDefault="00A31BA5" w:rsidP="00DE697C">
      <w:pPr>
        <w:tabs>
          <w:tab w:val="left" w:pos="717"/>
          <w:tab w:val="left" w:pos="7513"/>
        </w:tabs>
        <w:ind w:right="95" w:firstLine="426"/>
        <w:jc w:val="both"/>
        <w:rPr>
          <w:rStyle w:val="rynqvb"/>
          <w:sz w:val="24"/>
          <w:szCs w:val="24"/>
          <w:lang w:val="en"/>
        </w:rPr>
      </w:pPr>
      <w:r w:rsidRPr="00DE697C">
        <w:rPr>
          <w:rStyle w:val="rynqvb"/>
          <w:sz w:val="24"/>
          <w:szCs w:val="24"/>
          <w:lang w:val="en"/>
        </w:rPr>
        <w:t>The incidence of TON has increased gradually in recent years by around 0.7 - 2.5%.</w:t>
      </w:r>
      <w:r w:rsidRPr="00DE697C">
        <w:rPr>
          <w:rStyle w:val="hwtze"/>
          <w:sz w:val="24"/>
          <w:szCs w:val="24"/>
          <w:lang w:val="en"/>
        </w:rPr>
        <w:t xml:space="preserve"> </w:t>
      </w:r>
      <w:r w:rsidRPr="00DE697C">
        <w:rPr>
          <w:rStyle w:val="rynqvb"/>
          <w:sz w:val="24"/>
          <w:szCs w:val="24"/>
          <w:lang w:val="en"/>
        </w:rPr>
        <w:t>A national epidemiological investigation in the United Kingdom found that the estimated minimum incidence of TON was 1 in 1,000,000 population.</w:t>
      </w:r>
      <w:r w:rsidRPr="00DE697C">
        <w:rPr>
          <w:rStyle w:val="hwtze"/>
          <w:sz w:val="24"/>
          <w:szCs w:val="24"/>
          <w:lang w:val="en"/>
        </w:rPr>
        <w:t xml:space="preserve"> </w:t>
      </w:r>
      <w:r w:rsidRPr="00DE697C">
        <w:rPr>
          <w:rStyle w:val="rynqvb"/>
          <w:sz w:val="24"/>
          <w:szCs w:val="24"/>
          <w:lang w:val="en"/>
        </w:rPr>
        <w:t>Around 0.5 - 2% occurs in head injuries and is more common in craniofacial fractures.</w:t>
      </w:r>
      <w:r w:rsidRPr="00DE697C">
        <w:rPr>
          <w:rStyle w:val="hwtze"/>
          <w:sz w:val="24"/>
          <w:szCs w:val="24"/>
          <w:lang w:val="en"/>
        </w:rPr>
        <w:t xml:space="preserve"> </w:t>
      </w:r>
      <w:r w:rsidRPr="00DE697C">
        <w:rPr>
          <w:rStyle w:val="rynqvb"/>
          <w:sz w:val="24"/>
          <w:szCs w:val="24"/>
          <w:lang w:val="en"/>
        </w:rPr>
        <w:t>Meanwhile, in severe head injuries, it is around 0.5 - 5%.</w:t>
      </w:r>
      <w:r w:rsidRPr="00DE697C">
        <w:rPr>
          <w:rStyle w:val="hwtze"/>
          <w:sz w:val="24"/>
          <w:szCs w:val="24"/>
          <w:lang w:val="en"/>
        </w:rPr>
        <w:t xml:space="preserve"> </w:t>
      </w:r>
      <w:r w:rsidRPr="00DE697C">
        <w:rPr>
          <w:rStyle w:val="rynqvb"/>
          <w:sz w:val="24"/>
          <w:szCs w:val="24"/>
          <w:lang w:val="en"/>
        </w:rPr>
        <w:t>According to research in Indonesia conducted by Daniel et al.</w:t>
      </w:r>
      <w:r w:rsidRPr="00DE697C">
        <w:rPr>
          <w:rStyle w:val="hwtze"/>
          <w:sz w:val="24"/>
          <w:szCs w:val="24"/>
          <w:lang w:val="en"/>
        </w:rPr>
        <w:t xml:space="preserve"> </w:t>
      </w:r>
      <w:r w:rsidRPr="00DE697C">
        <w:rPr>
          <w:rStyle w:val="rynqvb"/>
          <w:sz w:val="24"/>
          <w:szCs w:val="24"/>
          <w:lang w:val="en"/>
        </w:rPr>
        <w:t>(2018), of 34 patients from 2014 - 2015, 82.4% of patients were male with an average age of 22.47 ± 10.68 years (Daniel et al., 2018).</w:t>
      </w:r>
      <w:r w:rsidRPr="00DE697C">
        <w:rPr>
          <w:rStyle w:val="hwtze"/>
          <w:sz w:val="24"/>
          <w:szCs w:val="24"/>
          <w:lang w:val="en"/>
        </w:rPr>
        <w:t xml:space="preserve"> </w:t>
      </w:r>
      <w:r w:rsidRPr="00DE697C">
        <w:rPr>
          <w:rStyle w:val="rynqvb"/>
          <w:sz w:val="24"/>
          <w:szCs w:val="24"/>
          <w:lang w:val="en"/>
        </w:rPr>
        <w:t>In Bali, according to research conducted by Mahayani et al.</w:t>
      </w:r>
      <w:r w:rsidRPr="00DE697C">
        <w:rPr>
          <w:rStyle w:val="hwtze"/>
          <w:sz w:val="24"/>
          <w:szCs w:val="24"/>
          <w:lang w:val="en"/>
        </w:rPr>
        <w:t xml:space="preserve"> </w:t>
      </w:r>
      <w:r w:rsidRPr="00DE697C">
        <w:rPr>
          <w:rStyle w:val="rynqvb"/>
          <w:sz w:val="24"/>
          <w:szCs w:val="24"/>
          <w:lang w:val="en"/>
        </w:rPr>
        <w:t>(2013 - 2015) stated that out of 41 TON patients, only 13 patients were treated with high-dose corticosteroids.</w:t>
      </w:r>
      <w:r w:rsidRPr="00DE697C">
        <w:rPr>
          <w:rStyle w:val="hwtze"/>
          <w:sz w:val="24"/>
          <w:szCs w:val="24"/>
          <w:lang w:val="en"/>
        </w:rPr>
        <w:t xml:space="preserve"> </w:t>
      </w:r>
      <w:r w:rsidRPr="00DE697C">
        <w:rPr>
          <w:rStyle w:val="rynqvb"/>
          <w:sz w:val="24"/>
          <w:szCs w:val="24"/>
          <w:lang w:val="en"/>
        </w:rPr>
        <w:t>Of these 13 patients, it is known that 78.6% of patients were male with a dominant age of less than 20 years (Mahayani et al., 2017).</w:t>
      </w:r>
    </w:p>
    <w:p w14:paraId="12864A28" w14:textId="20978B85" w:rsidR="00DE697C" w:rsidRDefault="00A31BA5" w:rsidP="00DE697C">
      <w:pPr>
        <w:tabs>
          <w:tab w:val="left" w:pos="717"/>
          <w:tab w:val="left" w:pos="7513"/>
        </w:tabs>
        <w:ind w:right="95" w:firstLine="426"/>
        <w:jc w:val="both"/>
        <w:rPr>
          <w:rStyle w:val="hwtze"/>
          <w:sz w:val="24"/>
          <w:szCs w:val="24"/>
          <w:lang w:val="en"/>
        </w:rPr>
      </w:pPr>
      <w:r w:rsidRPr="00DE697C">
        <w:rPr>
          <w:rStyle w:val="rynqvb"/>
          <w:sz w:val="24"/>
          <w:szCs w:val="24"/>
          <w:lang w:val="en"/>
        </w:rPr>
        <w:t>TON patients present with visual loss after blunt or penetrating injury.</w:t>
      </w:r>
      <w:r w:rsidRPr="00DE697C">
        <w:rPr>
          <w:rStyle w:val="hwtze"/>
          <w:sz w:val="24"/>
          <w:szCs w:val="24"/>
          <w:lang w:val="en"/>
        </w:rPr>
        <w:t xml:space="preserve"> </w:t>
      </w:r>
      <w:r w:rsidRPr="00DE697C">
        <w:rPr>
          <w:rStyle w:val="rynqvb"/>
          <w:sz w:val="24"/>
          <w:szCs w:val="24"/>
          <w:lang w:val="en"/>
        </w:rPr>
        <w:t>TON consists of an acute unilateral decrease in vision or visual field.</w:t>
      </w:r>
      <w:r w:rsidRPr="00DE697C">
        <w:rPr>
          <w:rStyle w:val="hwtze"/>
          <w:sz w:val="24"/>
          <w:szCs w:val="24"/>
          <w:lang w:val="en"/>
        </w:rPr>
        <w:t xml:space="preserve"> </w:t>
      </w:r>
      <w:r w:rsidRPr="00DE697C">
        <w:rPr>
          <w:rStyle w:val="rynqvb"/>
          <w:sz w:val="24"/>
          <w:szCs w:val="24"/>
          <w:lang w:val="en"/>
        </w:rPr>
        <w:t>The degree of vision loss can vary, including decreased visual acuity and loss of color vision.</w:t>
      </w:r>
      <w:r w:rsidRPr="00DE697C">
        <w:rPr>
          <w:rStyle w:val="hwtze"/>
          <w:sz w:val="24"/>
          <w:szCs w:val="24"/>
          <w:lang w:val="en"/>
        </w:rPr>
        <w:t xml:space="preserve"> </w:t>
      </w:r>
      <w:r w:rsidRPr="00DE697C">
        <w:rPr>
          <w:rStyle w:val="rynqvb"/>
          <w:sz w:val="24"/>
          <w:szCs w:val="24"/>
          <w:lang w:val="en"/>
        </w:rPr>
        <w:t>Approximately 60% present with severe loss of light perception (LP) or worse.</w:t>
      </w:r>
      <w:r w:rsidRPr="00DE697C">
        <w:rPr>
          <w:rStyle w:val="hwtze"/>
          <w:sz w:val="24"/>
          <w:szCs w:val="24"/>
          <w:lang w:val="en"/>
        </w:rPr>
        <w:t xml:space="preserve"> </w:t>
      </w:r>
      <w:r w:rsidRPr="00DE697C">
        <w:rPr>
          <w:rStyle w:val="rynqvb"/>
          <w:sz w:val="24"/>
          <w:szCs w:val="24"/>
          <w:lang w:val="en"/>
        </w:rPr>
        <w:t>In the acute phase, the optic nerve usually appears normal on fundoscopic examination, but optic nerve atrophy is often seen 3-6 weeks after injury (Jackson and Giantelli, 2020). Treatment of TON is controversial because to date no medical or surgical treatment has been shown to be statistically significant.</w:t>
      </w:r>
      <w:r w:rsidRPr="00DE697C">
        <w:rPr>
          <w:rStyle w:val="hwtze"/>
          <w:sz w:val="24"/>
          <w:szCs w:val="24"/>
          <w:lang w:val="en"/>
        </w:rPr>
        <w:t xml:space="preserve"> </w:t>
      </w:r>
      <w:r w:rsidRPr="00DE697C">
        <w:rPr>
          <w:rStyle w:val="rynqvb"/>
          <w:sz w:val="24"/>
          <w:szCs w:val="24"/>
          <w:lang w:val="en"/>
        </w:rPr>
        <w:t>Spontaneous visual improvement in TON patients has been reported in 20-38% of untreated cases (Emanuelli et al., 2015).</w:t>
      </w:r>
      <w:r w:rsidRPr="00DE697C">
        <w:rPr>
          <w:rStyle w:val="hwtze"/>
          <w:sz w:val="24"/>
          <w:szCs w:val="24"/>
          <w:lang w:val="en"/>
        </w:rPr>
        <w:t xml:space="preserve"> </w:t>
      </w:r>
      <w:r w:rsidRPr="00DE697C">
        <w:rPr>
          <w:rStyle w:val="rynqvb"/>
          <w:sz w:val="24"/>
          <w:szCs w:val="24"/>
          <w:lang w:val="en"/>
        </w:rPr>
        <w:t>Research on optic nerve protection and regeneration after TON is still at the laboratory study level.</w:t>
      </w:r>
      <w:r w:rsidRPr="00DE697C">
        <w:rPr>
          <w:rStyle w:val="hwtze"/>
          <w:sz w:val="24"/>
          <w:szCs w:val="24"/>
          <w:lang w:val="en"/>
        </w:rPr>
        <w:t xml:space="preserve"> </w:t>
      </w:r>
      <w:r w:rsidRPr="00DE697C">
        <w:rPr>
          <w:rStyle w:val="rynqvb"/>
          <w:sz w:val="24"/>
          <w:szCs w:val="24"/>
          <w:lang w:val="en"/>
        </w:rPr>
        <w:t>This is due to the lack of clear guidelines and the ambiguity of the diagnosis and management itself.</w:t>
      </w:r>
      <w:r w:rsidRPr="00DE697C">
        <w:rPr>
          <w:rStyle w:val="hwtze"/>
          <w:sz w:val="24"/>
          <w:szCs w:val="24"/>
          <w:lang w:val="en"/>
        </w:rPr>
        <w:t xml:space="preserve"> </w:t>
      </w:r>
      <w:r w:rsidRPr="00DE697C">
        <w:rPr>
          <w:rStyle w:val="rynqvb"/>
          <w:sz w:val="24"/>
          <w:szCs w:val="24"/>
          <w:lang w:val="en"/>
        </w:rPr>
        <w:t>Clinical interventions for TON include observation and treatment with corticosteroids or optic tract decompression (with or without steroids).</w:t>
      </w:r>
      <w:r w:rsidRPr="00DE697C">
        <w:rPr>
          <w:rStyle w:val="hwtze"/>
          <w:sz w:val="24"/>
          <w:szCs w:val="24"/>
          <w:lang w:val="en"/>
        </w:rPr>
        <w:t xml:space="preserve"> </w:t>
      </w:r>
      <w:r w:rsidRPr="00DE697C">
        <w:rPr>
          <w:rStyle w:val="rynqvb"/>
          <w:sz w:val="24"/>
          <w:szCs w:val="24"/>
          <w:lang w:val="en"/>
        </w:rPr>
        <w:t>There is controversy in clinical practice regarding which treatment is best.</w:t>
      </w:r>
      <w:r w:rsidRPr="00DE697C">
        <w:rPr>
          <w:rStyle w:val="hwtze"/>
          <w:sz w:val="24"/>
          <w:szCs w:val="24"/>
          <w:lang w:val="en"/>
        </w:rPr>
        <w:t xml:space="preserve"> </w:t>
      </w:r>
      <w:r w:rsidRPr="00DE697C">
        <w:rPr>
          <w:rStyle w:val="rynqvb"/>
          <w:sz w:val="24"/>
          <w:szCs w:val="24"/>
          <w:lang w:val="en"/>
        </w:rPr>
        <w:t>A review of studies showed that visual acuity in patients with TON can be significantly improved after optical center (OC) decompression surgery, especially endoscopic transnasal/transseptal optic canal decompression (ETOCD) with or without corticosteroid use (Chen et al., 2022).</w:t>
      </w:r>
      <w:r w:rsidRPr="00DE697C">
        <w:rPr>
          <w:rStyle w:val="hwtze"/>
          <w:sz w:val="24"/>
          <w:szCs w:val="24"/>
          <w:lang w:val="en"/>
        </w:rPr>
        <w:t xml:space="preserve"> </w:t>
      </w:r>
      <w:r w:rsidR="00BB4AD6">
        <w:rPr>
          <w:rStyle w:val="hwtze"/>
          <w:sz w:val="24"/>
          <w:szCs w:val="24"/>
          <w:lang w:val="en"/>
        </w:rPr>
        <w:t xml:space="preserve"> </w:t>
      </w:r>
    </w:p>
    <w:p w14:paraId="391AC6E1" w14:textId="6B5AB95E" w:rsidR="00A31BA5" w:rsidRPr="00DE697C" w:rsidRDefault="00A31BA5" w:rsidP="00DE697C">
      <w:pPr>
        <w:tabs>
          <w:tab w:val="left" w:pos="717"/>
          <w:tab w:val="left" w:pos="7513"/>
        </w:tabs>
        <w:ind w:right="95" w:firstLine="426"/>
        <w:jc w:val="both"/>
        <w:rPr>
          <w:rStyle w:val="rynqvb"/>
          <w:sz w:val="24"/>
          <w:szCs w:val="24"/>
          <w:lang w:val="en"/>
        </w:rPr>
      </w:pPr>
      <w:r w:rsidRPr="00DE697C">
        <w:rPr>
          <w:rStyle w:val="rynqvb"/>
          <w:sz w:val="24"/>
          <w:szCs w:val="24"/>
          <w:lang w:val="en"/>
        </w:rPr>
        <w:t>A review of clinical information about TON can help determine the characteristics of TON and review the latest literature to discuss the management of TON.</w:t>
      </w:r>
      <w:r w:rsidRPr="00DE697C">
        <w:rPr>
          <w:rStyle w:val="hwtze"/>
          <w:sz w:val="24"/>
          <w:szCs w:val="24"/>
          <w:lang w:val="en"/>
        </w:rPr>
        <w:t xml:space="preserve"> </w:t>
      </w:r>
      <w:r w:rsidRPr="00DE697C">
        <w:rPr>
          <w:rStyle w:val="rynqvb"/>
          <w:sz w:val="24"/>
          <w:szCs w:val="24"/>
          <w:lang w:val="en"/>
        </w:rPr>
        <w:t>Therefore, the author is interested in compiling an Elective Study entitled "Characteristics of Traumatic Optic Neuropathy Patients at Prof. Dr. I.G.N.G. Ngoerah Denpasar Hospital in 2022 – 2023.</w:t>
      </w:r>
    </w:p>
    <w:p w14:paraId="775D84FF" w14:textId="77777777" w:rsidR="00A31BA5" w:rsidRPr="00DE697C" w:rsidRDefault="00A31BA5" w:rsidP="00DE697C">
      <w:pPr>
        <w:tabs>
          <w:tab w:val="left" w:pos="717"/>
          <w:tab w:val="left" w:pos="7513"/>
        </w:tabs>
        <w:ind w:right="95"/>
        <w:jc w:val="both"/>
        <w:rPr>
          <w:sz w:val="24"/>
          <w:szCs w:val="24"/>
          <w:lang w:val="en"/>
        </w:rPr>
      </w:pPr>
    </w:p>
    <w:p w14:paraId="50E4C5FB" w14:textId="1935E6CE" w:rsidR="00CE05DA" w:rsidRPr="00DE697C" w:rsidRDefault="00CE05DA" w:rsidP="00DE697C">
      <w:pPr>
        <w:tabs>
          <w:tab w:val="left" w:pos="717"/>
          <w:tab w:val="left" w:pos="7513"/>
        </w:tabs>
        <w:ind w:right="95"/>
        <w:jc w:val="both"/>
        <w:rPr>
          <w:b/>
          <w:spacing w:val="-2"/>
          <w:sz w:val="24"/>
          <w:szCs w:val="24"/>
        </w:rPr>
      </w:pPr>
      <w:r w:rsidRPr="00DE697C">
        <w:rPr>
          <w:b/>
          <w:spacing w:val="-2"/>
          <w:sz w:val="24"/>
          <w:szCs w:val="24"/>
        </w:rPr>
        <w:t>METHOD</w:t>
      </w:r>
      <w:r w:rsidR="005A79A8" w:rsidRPr="00DE697C">
        <w:rPr>
          <w:b/>
          <w:spacing w:val="-2"/>
          <w:sz w:val="24"/>
          <w:szCs w:val="24"/>
        </w:rPr>
        <w:t>S</w:t>
      </w:r>
    </w:p>
    <w:p w14:paraId="3BE37C4F" w14:textId="77777777" w:rsidR="00A31BA5" w:rsidRPr="00DE697C" w:rsidRDefault="00A31BA5" w:rsidP="00DE697C">
      <w:pPr>
        <w:tabs>
          <w:tab w:val="left" w:pos="717"/>
          <w:tab w:val="left" w:pos="7513"/>
        </w:tabs>
        <w:ind w:right="95"/>
        <w:jc w:val="both"/>
        <w:rPr>
          <w:sz w:val="24"/>
          <w:szCs w:val="24"/>
        </w:rPr>
      </w:pPr>
    </w:p>
    <w:p w14:paraId="05562003" w14:textId="77777777" w:rsidR="00DE697C" w:rsidRDefault="006F458A" w:rsidP="00DE697C">
      <w:pPr>
        <w:pStyle w:val="BodyText"/>
        <w:tabs>
          <w:tab w:val="left" w:pos="7513"/>
        </w:tabs>
        <w:ind w:right="95" w:firstLine="426"/>
        <w:rPr>
          <w:sz w:val="24"/>
          <w:szCs w:val="24"/>
        </w:rPr>
      </w:pPr>
      <w:r w:rsidRPr="00DE697C">
        <w:rPr>
          <w:sz w:val="24"/>
          <w:szCs w:val="24"/>
        </w:rPr>
        <w:t>T</w:t>
      </w:r>
      <w:r w:rsidR="00CE05DA" w:rsidRPr="00DE697C">
        <w:rPr>
          <w:sz w:val="24"/>
          <w:szCs w:val="24"/>
        </w:rPr>
        <w:t xml:space="preserve">his research employed a cross-sectional quantitative observational study design. The study population comprised all TON patients treated at RSUP </w:t>
      </w:r>
      <w:r w:rsidR="0091644C" w:rsidRPr="00DE697C">
        <w:rPr>
          <w:sz w:val="24"/>
          <w:szCs w:val="24"/>
        </w:rPr>
        <w:t>Ngoerah</w:t>
      </w:r>
      <w:r w:rsidR="00CE05DA" w:rsidRPr="00DE697C">
        <w:rPr>
          <w:sz w:val="24"/>
          <w:szCs w:val="24"/>
        </w:rPr>
        <w:t xml:space="preserve"> Denpasar within the study period</w:t>
      </w:r>
      <w:r w:rsidR="00D15337" w:rsidRPr="00DE697C">
        <w:rPr>
          <w:sz w:val="24"/>
          <w:szCs w:val="24"/>
        </w:rPr>
        <w:t>.</w:t>
      </w:r>
      <w:r w:rsidR="00CE05DA" w:rsidRPr="00DE697C">
        <w:rPr>
          <w:sz w:val="24"/>
          <w:szCs w:val="24"/>
        </w:rPr>
        <w:t xml:space="preserve"> using medical records as the primary data source.</w:t>
      </w:r>
    </w:p>
    <w:p w14:paraId="44881D22" w14:textId="77777777" w:rsidR="00DE697C" w:rsidRDefault="00ED1819" w:rsidP="00DE697C">
      <w:pPr>
        <w:pStyle w:val="BodyText"/>
        <w:tabs>
          <w:tab w:val="left" w:pos="7513"/>
        </w:tabs>
        <w:ind w:right="95" w:firstLine="426"/>
        <w:rPr>
          <w:sz w:val="24"/>
          <w:szCs w:val="24"/>
        </w:rPr>
      </w:pPr>
      <w:r w:rsidRPr="00DE697C">
        <w:rPr>
          <w:sz w:val="24"/>
          <w:szCs w:val="24"/>
          <w:lang w:val="en"/>
        </w:rPr>
        <w:t>The target population in this study were all patients diagnosed with TON based on medical records at Prof. Dr. I.G.N.G. Ngoerah General Hospital</w:t>
      </w:r>
      <w:r w:rsidR="00D15337" w:rsidRPr="00DE697C">
        <w:rPr>
          <w:sz w:val="24"/>
          <w:szCs w:val="24"/>
          <w:lang w:val="en"/>
        </w:rPr>
        <w:t>.</w:t>
      </w:r>
      <w:r w:rsidRPr="00DE697C">
        <w:rPr>
          <w:sz w:val="24"/>
          <w:szCs w:val="24"/>
          <w:lang w:val="en"/>
        </w:rPr>
        <w:t xml:space="preserve"> Denpasar. The accessible population in this study were all TON patients who were recorded in medical records at Prof. Dr. I.G.N.G. Ngoerah General Hospital</w:t>
      </w:r>
      <w:r w:rsidR="00D15337" w:rsidRPr="00DE697C">
        <w:rPr>
          <w:sz w:val="24"/>
          <w:szCs w:val="24"/>
          <w:lang w:val="en"/>
        </w:rPr>
        <w:t>.</w:t>
      </w:r>
      <w:r w:rsidRPr="00DE697C">
        <w:rPr>
          <w:sz w:val="24"/>
          <w:szCs w:val="24"/>
          <w:lang w:val="en"/>
        </w:rPr>
        <w:t xml:space="preserve"> Denpasar in 2022-2023. </w:t>
      </w:r>
      <w:r w:rsidR="006F458A" w:rsidRPr="00DE697C">
        <w:rPr>
          <w:sz w:val="24"/>
          <w:szCs w:val="24"/>
        </w:rPr>
        <w:t>The i</w:t>
      </w:r>
      <w:r w:rsidR="00CE05DA" w:rsidRPr="00DE697C">
        <w:rPr>
          <w:sz w:val="24"/>
          <w:szCs w:val="24"/>
        </w:rPr>
        <w:t>nclusion criteria encompassed patients diagnosed with TON confirmed by clinical and imaging findings</w:t>
      </w:r>
      <w:r w:rsidR="00D15337" w:rsidRPr="00DE697C">
        <w:rPr>
          <w:sz w:val="24"/>
          <w:szCs w:val="24"/>
        </w:rPr>
        <w:t>.</w:t>
      </w:r>
      <w:r w:rsidR="00CE05DA" w:rsidRPr="00DE697C">
        <w:rPr>
          <w:sz w:val="24"/>
          <w:szCs w:val="24"/>
        </w:rPr>
        <w:t xml:space="preserve"> while exclusion criteria included incomplete medical records or secondary causes of optic neuropathy unrelated to trauma. Sampling was conducted using a total sampling technique</w:t>
      </w:r>
      <w:r w:rsidR="00D15337" w:rsidRPr="00DE697C">
        <w:rPr>
          <w:sz w:val="24"/>
          <w:szCs w:val="24"/>
        </w:rPr>
        <w:t>.</w:t>
      </w:r>
      <w:r w:rsidR="00CE05DA" w:rsidRPr="00DE697C">
        <w:rPr>
          <w:sz w:val="24"/>
          <w:szCs w:val="24"/>
        </w:rPr>
        <w:t xml:space="preserve"> given the relatively small patient population. </w:t>
      </w:r>
    </w:p>
    <w:p w14:paraId="0255DB18" w14:textId="77777777" w:rsidR="00DE697C" w:rsidRDefault="005A79A8" w:rsidP="00DE697C">
      <w:pPr>
        <w:pStyle w:val="BodyText"/>
        <w:tabs>
          <w:tab w:val="left" w:pos="7513"/>
        </w:tabs>
        <w:ind w:right="95" w:firstLine="426"/>
        <w:rPr>
          <w:sz w:val="24"/>
          <w:szCs w:val="24"/>
        </w:rPr>
      </w:pPr>
      <w:r w:rsidRPr="00DE697C">
        <w:rPr>
          <w:sz w:val="24"/>
          <w:szCs w:val="24"/>
          <w:lang w:val="en"/>
        </w:rPr>
        <w:t>The research variables consist of gender</w:t>
      </w:r>
      <w:r w:rsidR="00D15337" w:rsidRPr="00DE697C">
        <w:rPr>
          <w:sz w:val="24"/>
          <w:szCs w:val="24"/>
          <w:lang w:val="en"/>
        </w:rPr>
        <w:t>.</w:t>
      </w:r>
      <w:r w:rsidRPr="00DE697C">
        <w:rPr>
          <w:sz w:val="24"/>
          <w:szCs w:val="24"/>
          <w:lang w:val="en"/>
        </w:rPr>
        <w:t xml:space="preserve"> age</w:t>
      </w:r>
      <w:r w:rsidR="00D15337" w:rsidRPr="00DE697C">
        <w:rPr>
          <w:sz w:val="24"/>
          <w:szCs w:val="24"/>
          <w:lang w:val="en"/>
        </w:rPr>
        <w:t>.</w:t>
      </w:r>
      <w:r w:rsidRPr="00DE697C">
        <w:rPr>
          <w:sz w:val="24"/>
          <w:szCs w:val="24"/>
          <w:lang w:val="en"/>
        </w:rPr>
        <w:t xml:space="preserve"> domicile</w:t>
      </w:r>
      <w:r w:rsidR="00D15337" w:rsidRPr="00DE697C">
        <w:rPr>
          <w:sz w:val="24"/>
          <w:szCs w:val="24"/>
          <w:lang w:val="en"/>
        </w:rPr>
        <w:t>.</w:t>
      </w:r>
      <w:r w:rsidRPr="00DE697C">
        <w:rPr>
          <w:sz w:val="24"/>
          <w:szCs w:val="24"/>
          <w:lang w:val="en"/>
        </w:rPr>
        <w:t xml:space="preserve"> vision before and after treatment</w:t>
      </w:r>
      <w:r w:rsidR="00D15337" w:rsidRPr="00DE697C">
        <w:rPr>
          <w:sz w:val="24"/>
          <w:szCs w:val="24"/>
          <w:lang w:val="en"/>
        </w:rPr>
        <w:t>.</w:t>
      </w:r>
      <w:r w:rsidRPr="00DE697C">
        <w:rPr>
          <w:sz w:val="24"/>
          <w:szCs w:val="24"/>
          <w:lang w:val="en"/>
        </w:rPr>
        <w:t xml:space="preserve"> type of injury</w:t>
      </w:r>
      <w:r w:rsidR="00D15337" w:rsidRPr="00DE697C">
        <w:rPr>
          <w:sz w:val="24"/>
          <w:szCs w:val="24"/>
          <w:lang w:val="en"/>
        </w:rPr>
        <w:t>.</w:t>
      </w:r>
      <w:r w:rsidRPr="00DE697C">
        <w:rPr>
          <w:sz w:val="24"/>
          <w:szCs w:val="24"/>
          <w:lang w:val="en"/>
        </w:rPr>
        <w:t xml:space="preserve"> type of trauma</w:t>
      </w:r>
      <w:r w:rsidR="00D15337" w:rsidRPr="00DE697C">
        <w:rPr>
          <w:sz w:val="24"/>
          <w:szCs w:val="24"/>
          <w:lang w:val="en"/>
        </w:rPr>
        <w:t>.</w:t>
      </w:r>
      <w:r w:rsidRPr="00DE697C">
        <w:rPr>
          <w:sz w:val="24"/>
          <w:szCs w:val="24"/>
          <w:lang w:val="en"/>
        </w:rPr>
        <w:t xml:space="preserve"> mechanism of trauma</w:t>
      </w:r>
      <w:r w:rsidR="00D15337" w:rsidRPr="00DE697C">
        <w:rPr>
          <w:sz w:val="24"/>
          <w:szCs w:val="24"/>
          <w:lang w:val="en"/>
        </w:rPr>
        <w:t>.</w:t>
      </w:r>
      <w:r w:rsidRPr="00DE697C">
        <w:rPr>
          <w:sz w:val="24"/>
          <w:szCs w:val="24"/>
          <w:lang w:val="en"/>
        </w:rPr>
        <w:t xml:space="preserve"> and treatment.</w:t>
      </w:r>
      <w:r w:rsidR="00DE697C">
        <w:rPr>
          <w:sz w:val="24"/>
          <w:szCs w:val="24"/>
        </w:rPr>
        <w:t xml:space="preserve"> </w:t>
      </w:r>
      <w:r w:rsidR="00CE05DA" w:rsidRPr="00DE697C">
        <w:rPr>
          <w:sz w:val="24"/>
          <w:szCs w:val="24"/>
        </w:rPr>
        <w:t>Data were analyzed descriptively and inferentially using SPSS version 26</w:t>
      </w:r>
      <w:r w:rsidR="00D15337" w:rsidRPr="00DE697C">
        <w:rPr>
          <w:sz w:val="24"/>
          <w:szCs w:val="24"/>
        </w:rPr>
        <w:t>.</w:t>
      </w:r>
      <w:r w:rsidR="00CE05DA" w:rsidRPr="00DE697C">
        <w:rPr>
          <w:sz w:val="24"/>
          <w:szCs w:val="24"/>
        </w:rPr>
        <w:t xml:space="preserve"> focusing on demographic variables (age</w:t>
      </w:r>
      <w:r w:rsidR="00D15337" w:rsidRPr="00DE697C">
        <w:rPr>
          <w:sz w:val="24"/>
          <w:szCs w:val="24"/>
        </w:rPr>
        <w:t>.</w:t>
      </w:r>
      <w:r w:rsidR="00CE05DA" w:rsidRPr="00DE697C">
        <w:rPr>
          <w:sz w:val="24"/>
          <w:szCs w:val="24"/>
        </w:rPr>
        <w:t xml:space="preserve"> gender)</w:t>
      </w:r>
      <w:r w:rsidR="00D15337" w:rsidRPr="00DE697C">
        <w:rPr>
          <w:sz w:val="24"/>
          <w:szCs w:val="24"/>
        </w:rPr>
        <w:t>.</w:t>
      </w:r>
      <w:r w:rsidR="00CE05DA" w:rsidRPr="00DE697C">
        <w:rPr>
          <w:sz w:val="24"/>
          <w:szCs w:val="24"/>
        </w:rPr>
        <w:t xml:space="preserve"> injury mechanisms</w:t>
      </w:r>
      <w:r w:rsidR="00D15337" w:rsidRPr="00DE697C">
        <w:rPr>
          <w:sz w:val="24"/>
          <w:szCs w:val="24"/>
        </w:rPr>
        <w:t>.</w:t>
      </w:r>
      <w:r w:rsidR="00CE05DA" w:rsidRPr="00DE697C">
        <w:rPr>
          <w:sz w:val="24"/>
          <w:szCs w:val="24"/>
        </w:rPr>
        <w:t xml:space="preserve"> types of injuries</w:t>
      </w:r>
      <w:r w:rsidR="00D15337" w:rsidRPr="00DE697C">
        <w:rPr>
          <w:sz w:val="24"/>
          <w:szCs w:val="24"/>
        </w:rPr>
        <w:t>.</w:t>
      </w:r>
      <w:r w:rsidR="00CE05DA" w:rsidRPr="00DE697C">
        <w:rPr>
          <w:sz w:val="24"/>
          <w:szCs w:val="24"/>
        </w:rPr>
        <w:t xml:space="preserve"> and treatment.</w:t>
      </w:r>
    </w:p>
    <w:p w14:paraId="75CABC95" w14:textId="77777777" w:rsidR="00DE697C" w:rsidRDefault="00DE697C" w:rsidP="00DE697C">
      <w:pPr>
        <w:pStyle w:val="BodyText"/>
        <w:tabs>
          <w:tab w:val="left" w:pos="7513"/>
        </w:tabs>
        <w:ind w:right="95"/>
        <w:rPr>
          <w:sz w:val="24"/>
          <w:szCs w:val="24"/>
        </w:rPr>
      </w:pPr>
    </w:p>
    <w:p w14:paraId="0D142BA7" w14:textId="32C2C9F6" w:rsidR="00CE05DA" w:rsidRPr="00DE697C" w:rsidRDefault="00CE05DA" w:rsidP="00DE697C">
      <w:pPr>
        <w:pStyle w:val="BodyText"/>
        <w:tabs>
          <w:tab w:val="left" w:pos="7513"/>
        </w:tabs>
        <w:ind w:right="95"/>
        <w:rPr>
          <w:b/>
          <w:spacing w:val="-2"/>
          <w:sz w:val="24"/>
          <w:szCs w:val="24"/>
        </w:rPr>
      </w:pPr>
      <w:r w:rsidRPr="00DE697C">
        <w:rPr>
          <w:b/>
          <w:spacing w:val="-2"/>
          <w:sz w:val="24"/>
          <w:szCs w:val="24"/>
        </w:rPr>
        <w:t>RESULT</w:t>
      </w:r>
    </w:p>
    <w:p w14:paraId="1E52FD64" w14:textId="77777777" w:rsidR="00DE697C" w:rsidRDefault="005A79A8" w:rsidP="00DE697C">
      <w:pPr>
        <w:tabs>
          <w:tab w:val="left" w:pos="717"/>
          <w:tab w:val="left" w:pos="7513"/>
        </w:tabs>
        <w:ind w:right="95"/>
        <w:jc w:val="both"/>
        <w:rPr>
          <w:b/>
          <w:spacing w:val="-2"/>
          <w:sz w:val="24"/>
          <w:szCs w:val="24"/>
        </w:rPr>
      </w:pPr>
      <w:r w:rsidRPr="00DE697C">
        <w:rPr>
          <w:b/>
          <w:spacing w:val="-2"/>
          <w:sz w:val="24"/>
          <w:szCs w:val="24"/>
        </w:rPr>
        <w:tab/>
      </w:r>
    </w:p>
    <w:p w14:paraId="59DB5B04" w14:textId="7DB18547" w:rsidR="005C1385" w:rsidRPr="00DE697C" w:rsidRDefault="00CE05DA" w:rsidP="00DE697C">
      <w:pPr>
        <w:tabs>
          <w:tab w:val="left" w:pos="717"/>
          <w:tab w:val="left" w:pos="7513"/>
        </w:tabs>
        <w:ind w:right="95" w:firstLine="426"/>
        <w:jc w:val="both"/>
        <w:rPr>
          <w:sz w:val="24"/>
          <w:szCs w:val="24"/>
        </w:rPr>
      </w:pPr>
      <w:r w:rsidRPr="00DE697C">
        <w:rPr>
          <w:sz w:val="24"/>
          <w:szCs w:val="24"/>
        </w:rPr>
        <w:t xml:space="preserve">This study analyzed the medical records of patients diagnosed with Traumatic Optic Neuropathy (TON) at RSUP </w:t>
      </w:r>
      <w:r w:rsidR="0091644C" w:rsidRPr="00DE697C">
        <w:rPr>
          <w:sz w:val="24"/>
          <w:szCs w:val="24"/>
        </w:rPr>
        <w:t>Ngoerah</w:t>
      </w:r>
      <w:r w:rsidRPr="00DE697C">
        <w:rPr>
          <w:sz w:val="24"/>
          <w:szCs w:val="24"/>
        </w:rPr>
        <w:t xml:space="preserve"> Denpasar between 2022 and 2023. A total of 19 patients met the inclusion criteria. The demographic distribution showed that the majority of patients were male</w:t>
      </w:r>
      <w:r w:rsidR="00D15337" w:rsidRPr="00DE697C">
        <w:rPr>
          <w:sz w:val="24"/>
          <w:szCs w:val="24"/>
        </w:rPr>
        <w:t>.</w:t>
      </w:r>
      <w:r w:rsidR="005C1385" w:rsidRPr="00DE697C">
        <w:rPr>
          <w:sz w:val="24"/>
          <w:szCs w:val="24"/>
        </w:rPr>
        <w:t xml:space="preserve"> comprising 18 individuals</w:t>
      </w:r>
      <w:r w:rsidR="00D15337" w:rsidRPr="00DE697C">
        <w:rPr>
          <w:sz w:val="24"/>
          <w:szCs w:val="24"/>
        </w:rPr>
        <w:t>.</w:t>
      </w:r>
      <w:r w:rsidR="005C1385" w:rsidRPr="00DE697C">
        <w:rPr>
          <w:sz w:val="24"/>
          <w:szCs w:val="24"/>
        </w:rPr>
        <w:t xml:space="preserve"> accounting for 94.7% of the cases. Meanwhile</w:t>
      </w:r>
      <w:r w:rsidR="00D15337" w:rsidRPr="00DE697C">
        <w:rPr>
          <w:sz w:val="24"/>
          <w:szCs w:val="24"/>
        </w:rPr>
        <w:t>.</w:t>
      </w:r>
      <w:r w:rsidR="005C1385" w:rsidRPr="00DE697C">
        <w:rPr>
          <w:sz w:val="24"/>
          <w:szCs w:val="24"/>
        </w:rPr>
        <w:t xml:space="preserve"> female patients constituted only 1 individual</w:t>
      </w:r>
      <w:r w:rsidR="00D15337" w:rsidRPr="00DE697C">
        <w:rPr>
          <w:sz w:val="24"/>
          <w:szCs w:val="24"/>
        </w:rPr>
        <w:t>.</w:t>
      </w:r>
      <w:r w:rsidR="005C1385" w:rsidRPr="00DE697C">
        <w:rPr>
          <w:sz w:val="24"/>
          <w:szCs w:val="24"/>
        </w:rPr>
        <w:t xml:space="preserve"> representing 5.3%. The distribution of TON patients based on gender at RSUP </w:t>
      </w:r>
      <w:r w:rsidR="005A79A8" w:rsidRPr="00DE697C">
        <w:rPr>
          <w:sz w:val="24"/>
          <w:szCs w:val="24"/>
        </w:rPr>
        <w:t>Ngoerah</w:t>
      </w:r>
      <w:r w:rsidR="005C1385" w:rsidRPr="00DE697C">
        <w:rPr>
          <w:sz w:val="24"/>
          <w:szCs w:val="24"/>
        </w:rPr>
        <w:t xml:space="preserve"> Denpasar during 2022–2023 is presented in the table below.</w:t>
      </w:r>
    </w:p>
    <w:p w14:paraId="0D960C56" w14:textId="77777777" w:rsidR="00DE697C" w:rsidRDefault="00DE697C" w:rsidP="00DE697C">
      <w:pPr>
        <w:tabs>
          <w:tab w:val="left" w:pos="717"/>
          <w:tab w:val="left" w:pos="7513"/>
        </w:tabs>
        <w:ind w:right="95"/>
        <w:jc w:val="both"/>
        <w:rPr>
          <w:b/>
          <w:bCs/>
          <w:sz w:val="24"/>
          <w:szCs w:val="24"/>
        </w:rPr>
      </w:pPr>
    </w:p>
    <w:p w14:paraId="4F3F8EE1" w14:textId="09AB5DAD" w:rsidR="005C1385" w:rsidRPr="00DE697C" w:rsidRDefault="005A79A8" w:rsidP="00DE697C">
      <w:pPr>
        <w:tabs>
          <w:tab w:val="left" w:pos="7513"/>
        </w:tabs>
        <w:ind w:left="1276" w:right="95" w:hanging="1276"/>
        <w:jc w:val="both"/>
        <w:rPr>
          <w:b/>
          <w:bCs/>
        </w:rPr>
      </w:pPr>
      <w:r w:rsidRPr="00DE697C">
        <w:rPr>
          <w:b/>
          <w:bCs/>
        </w:rPr>
        <w:t>Table</w:t>
      </w:r>
      <w:r w:rsidR="005C1385" w:rsidRPr="00DE697C">
        <w:rPr>
          <w:b/>
          <w:bCs/>
        </w:rPr>
        <w:t xml:space="preserve"> 1. </w:t>
      </w:r>
      <w:r w:rsidR="00DE697C">
        <w:rPr>
          <w:b/>
          <w:bCs/>
        </w:rPr>
        <w:tab/>
      </w:r>
      <w:r w:rsidR="005C1385" w:rsidRPr="00DE697C">
        <w:rPr>
          <w:b/>
          <w:bCs/>
        </w:rPr>
        <w:t xml:space="preserve">Characteristics of Traumatic Optic Neuropathy Patients Based on Gender at RSUP </w:t>
      </w:r>
      <w:r w:rsidRPr="00DE697C">
        <w:rPr>
          <w:b/>
          <w:bCs/>
        </w:rPr>
        <w:t>Ngoerah</w:t>
      </w:r>
      <w:r w:rsidR="005C1385" w:rsidRPr="00DE697C">
        <w:rPr>
          <w:b/>
          <w:bCs/>
        </w:rPr>
        <w:t xml:space="preserve"> Denpasar in 2022–2023</w:t>
      </w:r>
    </w:p>
    <w:tbl>
      <w:tblPr>
        <w:tblW w:w="8931" w:type="dxa"/>
        <w:tblLayout w:type="fixed"/>
        <w:tblCellMar>
          <w:left w:w="0" w:type="dxa"/>
          <w:right w:w="0" w:type="dxa"/>
        </w:tblCellMar>
        <w:tblLook w:val="01E0" w:firstRow="1" w:lastRow="1" w:firstColumn="1" w:lastColumn="1" w:noHBand="0" w:noVBand="0"/>
      </w:tblPr>
      <w:tblGrid>
        <w:gridCol w:w="1843"/>
        <w:gridCol w:w="2428"/>
        <w:gridCol w:w="4660"/>
      </w:tblGrid>
      <w:tr w:rsidR="00DE697C" w:rsidRPr="00DE697C" w14:paraId="310730EC" w14:textId="77777777" w:rsidTr="00DE697C">
        <w:trPr>
          <w:trHeight w:val="357"/>
        </w:trPr>
        <w:tc>
          <w:tcPr>
            <w:tcW w:w="1843" w:type="dxa"/>
            <w:tcBorders>
              <w:top w:val="single" w:sz="4" w:space="0" w:color="7E7E7E"/>
              <w:bottom w:val="single" w:sz="4" w:space="0" w:color="000000"/>
            </w:tcBorders>
          </w:tcPr>
          <w:p w14:paraId="54593331" w14:textId="77777777" w:rsidR="00AA4318" w:rsidRPr="00DE697C" w:rsidRDefault="00AA4318" w:rsidP="00DE697C">
            <w:pPr>
              <w:pStyle w:val="TableParagraph"/>
              <w:tabs>
                <w:tab w:val="left" w:pos="7513"/>
              </w:tabs>
              <w:ind w:right="95"/>
              <w:jc w:val="both"/>
              <w:rPr>
                <w:b/>
                <w:sz w:val="20"/>
                <w:szCs w:val="20"/>
              </w:rPr>
            </w:pPr>
            <w:r w:rsidRPr="00DE697C">
              <w:rPr>
                <w:b/>
                <w:sz w:val="20"/>
                <w:szCs w:val="20"/>
              </w:rPr>
              <w:t>Gender</w:t>
            </w:r>
          </w:p>
        </w:tc>
        <w:tc>
          <w:tcPr>
            <w:tcW w:w="2428" w:type="dxa"/>
            <w:tcBorders>
              <w:top w:val="single" w:sz="4" w:space="0" w:color="7E7E7E"/>
              <w:bottom w:val="single" w:sz="4" w:space="0" w:color="000000"/>
            </w:tcBorders>
          </w:tcPr>
          <w:p w14:paraId="7D0DB663" w14:textId="77777777" w:rsidR="00AA4318" w:rsidRPr="00DE697C" w:rsidRDefault="00AA4318" w:rsidP="00DE697C">
            <w:pPr>
              <w:pStyle w:val="TableParagraph"/>
              <w:tabs>
                <w:tab w:val="left" w:pos="7513"/>
              </w:tabs>
              <w:ind w:right="95" w:firstLine="140"/>
              <w:jc w:val="both"/>
              <w:rPr>
                <w:b/>
                <w:sz w:val="20"/>
                <w:szCs w:val="20"/>
              </w:rPr>
            </w:pPr>
            <w:r w:rsidRPr="00DE697C">
              <w:rPr>
                <w:b/>
                <w:sz w:val="20"/>
                <w:szCs w:val="20"/>
              </w:rPr>
              <w:t>Frequency (N</w:t>
            </w:r>
            <w:r w:rsidRPr="00DE697C">
              <w:rPr>
                <w:b/>
                <w:spacing w:val="-3"/>
                <w:sz w:val="20"/>
                <w:szCs w:val="20"/>
              </w:rPr>
              <w:t xml:space="preserve"> </w:t>
            </w:r>
            <w:r w:rsidRPr="00DE697C">
              <w:rPr>
                <w:b/>
                <w:sz w:val="20"/>
                <w:szCs w:val="20"/>
              </w:rPr>
              <w:t>=</w:t>
            </w:r>
            <w:r w:rsidRPr="00DE697C">
              <w:rPr>
                <w:b/>
                <w:spacing w:val="-1"/>
                <w:sz w:val="20"/>
                <w:szCs w:val="20"/>
              </w:rPr>
              <w:t xml:space="preserve"> </w:t>
            </w:r>
            <w:r w:rsidRPr="00DE697C">
              <w:rPr>
                <w:b/>
                <w:sz w:val="20"/>
                <w:szCs w:val="20"/>
              </w:rPr>
              <w:t>19)</w:t>
            </w:r>
          </w:p>
        </w:tc>
        <w:tc>
          <w:tcPr>
            <w:tcW w:w="4660" w:type="dxa"/>
            <w:tcBorders>
              <w:top w:val="single" w:sz="4" w:space="0" w:color="7E7E7E"/>
              <w:bottom w:val="single" w:sz="4" w:space="0" w:color="000000"/>
            </w:tcBorders>
          </w:tcPr>
          <w:p w14:paraId="121B0122" w14:textId="065D4455" w:rsidR="00AA4318" w:rsidRPr="00DE697C" w:rsidRDefault="00D15337" w:rsidP="00DE697C">
            <w:pPr>
              <w:pStyle w:val="TableParagraph"/>
              <w:tabs>
                <w:tab w:val="left" w:pos="7513"/>
              </w:tabs>
              <w:ind w:right="95"/>
              <w:jc w:val="both"/>
              <w:rPr>
                <w:b/>
                <w:sz w:val="20"/>
                <w:szCs w:val="20"/>
              </w:rPr>
            </w:pPr>
            <w:r w:rsidRPr="00DE697C">
              <w:rPr>
                <w:rStyle w:val="rynqvb"/>
                <w:b/>
                <w:bCs/>
                <w:sz w:val="20"/>
                <w:szCs w:val="20"/>
                <w:lang w:val="en"/>
              </w:rPr>
              <w:t>Percentage</w:t>
            </w:r>
            <w:r w:rsidR="00AA4318" w:rsidRPr="00DE697C">
              <w:rPr>
                <w:b/>
                <w:sz w:val="20"/>
                <w:szCs w:val="20"/>
              </w:rPr>
              <w:t xml:space="preserve"> (%)</w:t>
            </w:r>
          </w:p>
        </w:tc>
      </w:tr>
      <w:tr w:rsidR="00DE697C" w:rsidRPr="00DE697C" w14:paraId="38F7AB80" w14:textId="77777777" w:rsidTr="00DE697C">
        <w:trPr>
          <w:trHeight w:val="275"/>
        </w:trPr>
        <w:tc>
          <w:tcPr>
            <w:tcW w:w="1843" w:type="dxa"/>
            <w:tcBorders>
              <w:top w:val="single" w:sz="4" w:space="0" w:color="000000"/>
            </w:tcBorders>
          </w:tcPr>
          <w:p w14:paraId="7BEC90B8" w14:textId="77777777" w:rsidR="00AA4318" w:rsidRPr="00DE697C" w:rsidRDefault="00AA4318" w:rsidP="00DE697C">
            <w:pPr>
              <w:pStyle w:val="TableParagraph"/>
              <w:tabs>
                <w:tab w:val="left" w:pos="7513"/>
              </w:tabs>
              <w:ind w:right="95"/>
              <w:jc w:val="both"/>
              <w:rPr>
                <w:sz w:val="20"/>
                <w:szCs w:val="20"/>
              </w:rPr>
            </w:pPr>
            <w:r w:rsidRPr="00DE697C">
              <w:rPr>
                <w:sz w:val="20"/>
                <w:szCs w:val="20"/>
              </w:rPr>
              <w:t>Male</w:t>
            </w:r>
          </w:p>
        </w:tc>
        <w:tc>
          <w:tcPr>
            <w:tcW w:w="2428" w:type="dxa"/>
            <w:tcBorders>
              <w:top w:val="single" w:sz="4" w:space="0" w:color="000000"/>
            </w:tcBorders>
          </w:tcPr>
          <w:p w14:paraId="3D78CB85" w14:textId="77777777" w:rsidR="00AA4318" w:rsidRPr="00DE697C" w:rsidRDefault="00AA4318" w:rsidP="00DE697C">
            <w:pPr>
              <w:pStyle w:val="TableParagraph"/>
              <w:tabs>
                <w:tab w:val="left" w:pos="7513"/>
              </w:tabs>
              <w:ind w:right="95" w:firstLine="140"/>
              <w:jc w:val="both"/>
              <w:rPr>
                <w:sz w:val="20"/>
                <w:szCs w:val="20"/>
              </w:rPr>
            </w:pPr>
            <w:r w:rsidRPr="00DE697C">
              <w:rPr>
                <w:sz w:val="20"/>
                <w:szCs w:val="20"/>
              </w:rPr>
              <w:t>18</w:t>
            </w:r>
          </w:p>
        </w:tc>
        <w:tc>
          <w:tcPr>
            <w:tcW w:w="4660" w:type="dxa"/>
            <w:tcBorders>
              <w:top w:val="single" w:sz="4" w:space="0" w:color="000000"/>
            </w:tcBorders>
          </w:tcPr>
          <w:p w14:paraId="5E247DB7" w14:textId="4706A7DF" w:rsidR="00AA4318" w:rsidRPr="00DE697C" w:rsidRDefault="00AA4318" w:rsidP="00DE697C">
            <w:pPr>
              <w:pStyle w:val="TableParagraph"/>
              <w:tabs>
                <w:tab w:val="left" w:pos="7513"/>
              </w:tabs>
              <w:ind w:right="95"/>
              <w:jc w:val="both"/>
              <w:rPr>
                <w:sz w:val="20"/>
                <w:szCs w:val="20"/>
              </w:rPr>
            </w:pPr>
            <w:r w:rsidRPr="00DE697C">
              <w:rPr>
                <w:sz w:val="20"/>
                <w:szCs w:val="20"/>
              </w:rPr>
              <w:t>94</w:t>
            </w:r>
            <w:r w:rsidR="005A79A8" w:rsidRPr="00DE697C">
              <w:rPr>
                <w:sz w:val="20"/>
                <w:szCs w:val="20"/>
              </w:rPr>
              <w:t>.</w:t>
            </w:r>
            <w:r w:rsidRPr="00DE697C">
              <w:rPr>
                <w:sz w:val="20"/>
                <w:szCs w:val="20"/>
              </w:rPr>
              <w:t>7</w:t>
            </w:r>
          </w:p>
        </w:tc>
      </w:tr>
      <w:tr w:rsidR="00DE697C" w:rsidRPr="00DE697C" w14:paraId="3B4986D3" w14:textId="77777777" w:rsidTr="00DE697C">
        <w:trPr>
          <w:trHeight w:val="80"/>
        </w:trPr>
        <w:tc>
          <w:tcPr>
            <w:tcW w:w="1843" w:type="dxa"/>
            <w:tcBorders>
              <w:bottom w:val="single" w:sz="4" w:space="0" w:color="000000"/>
            </w:tcBorders>
          </w:tcPr>
          <w:p w14:paraId="107B150F" w14:textId="77777777" w:rsidR="00AA4318" w:rsidRPr="00DE697C" w:rsidRDefault="00AA4318" w:rsidP="00DE697C">
            <w:pPr>
              <w:pStyle w:val="TableParagraph"/>
              <w:tabs>
                <w:tab w:val="left" w:pos="7513"/>
              </w:tabs>
              <w:ind w:right="95"/>
              <w:jc w:val="both"/>
              <w:rPr>
                <w:sz w:val="20"/>
                <w:szCs w:val="20"/>
              </w:rPr>
            </w:pPr>
            <w:r w:rsidRPr="00DE697C">
              <w:rPr>
                <w:sz w:val="20"/>
                <w:szCs w:val="20"/>
              </w:rPr>
              <w:t>Woman</w:t>
            </w:r>
          </w:p>
        </w:tc>
        <w:tc>
          <w:tcPr>
            <w:tcW w:w="2428" w:type="dxa"/>
            <w:tcBorders>
              <w:bottom w:val="single" w:sz="4" w:space="0" w:color="000000"/>
            </w:tcBorders>
          </w:tcPr>
          <w:p w14:paraId="5CE3A5D5" w14:textId="77777777" w:rsidR="00AA4318" w:rsidRPr="00DE697C" w:rsidRDefault="00AA4318" w:rsidP="00DE697C">
            <w:pPr>
              <w:pStyle w:val="TableParagraph"/>
              <w:tabs>
                <w:tab w:val="left" w:pos="7513"/>
              </w:tabs>
              <w:ind w:right="95" w:firstLine="140"/>
              <w:jc w:val="both"/>
              <w:rPr>
                <w:sz w:val="20"/>
                <w:szCs w:val="20"/>
              </w:rPr>
            </w:pPr>
            <w:r w:rsidRPr="00DE697C">
              <w:rPr>
                <w:sz w:val="20"/>
                <w:szCs w:val="20"/>
              </w:rPr>
              <w:t>1</w:t>
            </w:r>
          </w:p>
        </w:tc>
        <w:tc>
          <w:tcPr>
            <w:tcW w:w="4660" w:type="dxa"/>
            <w:tcBorders>
              <w:bottom w:val="single" w:sz="4" w:space="0" w:color="000000"/>
            </w:tcBorders>
          </w:tcPr>
          <w:p w14:paraId="245DBDDD" w14:textId="2266EF8A" w:rsidR="00AA4318" w:rsidRPr="00DE697C" w:rsidRDefault="00AA4318" w:rsidP="00DE697C">
            <w:pPr>
              <w:pStyle w:val="TableParagraph"/>
              <w:tabs>
                <w:tab w:val="left" w:pos="7513"/>
              </w:tabs>
              <w:ind w:right="95"/>
              <w:jc w:val="both"/>
              <w:rPr>
                <w:sz w:val="20"/>
                <w:szCs w:val="20"/>
              </w:rPr>
            </w:pPr>
            <w:r w:rsidRPr="00DE697C">
              <w:rPr>
                <w:sz w:val="20"/>
                <w:szCs w:val="20"/>
              </w:rPr>
              <w:t>4</w:t>
            </w:r>
            <w:r w:rsidR="005A79A8" w:rsidRPr="00DE697C">
              <w:rPr>
                <w:sz w:val="20"/>
                <w:szCs w:val="20"/>
              </w:rPr>
              <w:t>.</w:t>
            </w:r>
            <w:r w:rsidRPr="00DE697C">
              <w:rPr>
                <w:sz w:val="20"/>
                <w:szCs w:val="20"/>
              </w:rPr>
              <w:t>3</w:t>
            </w:r>
          </w:p>
        </w:tc>
      </w:tr>
      <w:tr w:rsidR="00DE697C" w:rsidRPr="00DE697C" w14:paraId="44BD6F4E" w14:textId="77777777" w:rsidTr="00DE697C">
        <w:trPr>
          <w:trHeight w:val="70"/>
        </w:trPr>
        <w:tc>
          <w:tcPr>
            <w:tcW w:w="1843" w:type="dxa"/>
            <w:tcBorders>
              <w:top w:val="single" w:sz="4" w:space="0" w:color="000000"/>
              <w:bottom w:val="single" w:sz="4" w:space="0" w:color="000000"/>
            </w:tcBorders>
          </w:tcPr>
          <w:p w14:paraId="0EC627B2" w14:textId="661FDC09" w:rsidR="00AA4318" w:rsidRPr="00DE697C" w:rsidRDefault="00FD2F1F" w:rsidP="00DE697C">
            <w:pPr>
              <w:pStyle w:val="TableParagraph"/>
              <w:tabs>
                <w:tab w:val="left" w:pos="7513"/>
              </w:tabs>
              <w:ind w:right="95"/>
              <w:jc w:val="both"/>
              <w:rPr>
                <w:b/>
                <w:sz w:val="20"/>
                <w:szCs w:val="20"/>
              </w:rPr>
            </w:pPr>
            <w:r w:rsidRPr="00DE697C">
              <w:rPr>
                <w:b/>
                <w:sz w:val="20"/>
                <w:szCs w:val="20"/>
              </w:rPr>
              <w:t>Total</w:t>
            </w:r>
          </w:p>
        </w:tc>
        <w:tc>
          <w:tcPr>
            <w:tcW w:w="2428" w:type="dxa"/>
            <w:tcBorders>
              <w:top w:val="single" w:sz="4" w:space="0" w:color="000000"/>
              <w:bottom w:val="single" w:sz="4" w:space="0" w:color="000000"/>
            </w:tcBorders>
          </w:tcPr>
          <w:p w14:paraId="62ED7F60" w14:textId="77777777" w:rsidR="00AA4318" w:rsidRPr="00DE697C" w:rsidRDefault="00AA4318" w:rsidP="00DE697C">
            <w:pPr>
              <w:pStyle w:val="TableParagraph"/>
              <w:tabs>
                <w:tab w:val="left" w:pos="7513"/>
              </w:tabs>
              <w:ind w:right="95" w:firstLine="140"/>
              <w:jc w:val="both"/>
              <w:rPr>
                <w:b/>
                <w:sz w:val="20"/>
                <w:szCs w:val="20"/>
              </w:rPr>
            </w:pPr>
            <w:r w:rsidRPr="00DE697C">
              <w:rPr>
                <w:b/>
                <w:sz w:val="20"/>
                <w:szCs w:val="20"/>
              </w:rPr>
              <w:t>19</w:t>
            </w:r>
          </w:p>
        </w:tc>
        <w:tc>
          <w:tcPr>
            <w:tcW w:w="4660" w:type="dxa"/>
            <w:tcBorders>
              <w:top w:val="single" w:sz="4" w:space="0" w:color="000000"/>
              <w:bottom w:val="single" w:sz="4" w:space="0" w:color="000000"/>
            </w:tcBorders>
          </w:tcPr>
          <w:p w14:paraId="4C3C6A0E" w14:textId="77777777" w:rsidR="00AA4318" w:rsidRPr="00DE697C" w:rsidRDefault="00AA4318" w:rsidP="00DE697C">
            <w:pPr>
              <w:pStyle w:val="TableParagraph"/>
              <w:tabs>
                <w:tab w:val="left" w:pos="7513"/>
              </w:tabs>
              <w:ind w:right="95"/>
              <w:jc w:val="both"/>
              <w:rPr>
                <w:b/>
                <w:sz w:val="20"/>
                <w:szCs w:val="20"/>
              </w:rPr>
            </w:pPr>
            <w:r w:rsidRPr="00DE697C">
              <w:rPr>
                <w:b/>
                <w:sz w:val="20"/>
                <w:szCs w:val="20"/>
              </w:rPr>
              <w:t>100</w:t>
            </w:r>
          </w:p>
        </w:tc>
      </w:tr>
    </w:tbl>
    <w:p w14:paraId="447EEF7B" w14:textId="77777777" w:rsidR="005A79A8" w:rsidRPr="00DE697C" w:rsidRDefault="005A79A8" w:rsidP="00DE697C">
      <w:pPr>
        <w:tabs>
          <w:tab w:val="left" w:pos="717"/>
          <w:tab w:val="left" w:pos="7513"/>
        </w:tabs>
        <w:ind w:right="95"/>
        <w:jc w:val="both"/>
        <w:rPr>
          <w:sz w:val="24"/>
          <w:szCs w:val="24"/>
        </w:rPr>
      </w:pPr>
      <w:r w:rsidRPr="00DE697C">
        <w:rPr>
          <w:sz w:val="24"/>
          <w:szCs w:val="24"/>
        </w:rPr>
        <w:tab/>
      </w:r>
    </w:p>
    <w:p w14:paraId="3263E378" w14:textId="5B2D1F1C" w:rsidR="005C1385" w:rsidRPr="00DE697C" w:rsidRDefault="00AA4318" w:rsidP="00DE697C">
      <w:pPr>
        <w:tabs>
          <w:tab w:val="left" w:pos="717"/>
          <w:tab w:val="left" w:pos="7513"/>
        </w:tabs>
        <w:ind w:right="95" w:firstLine="426"/>
        <w:jc w:val="both"/>
        <w:rPr>
          <w:sz w:val="24"/>
          <w:szCs w:val="24"/>
        </w:rPr>
      </w:pPr>
      <w:r w:rsidRPr="00DE697C">
        <w:rPr>
          <w:sz w:val="24"/>
          <w:szCs w:val="24"/>
        </w:rPr>
        <w:t>Based on the results of the study</w:t>
      </w:r>
      <w:r w:rsidR="00D15337" w:rsidRPr="00DE697C">
        <w:rPr>
          <w:sz w:val="24"/>
          <w:szCs w:val="24"/>
        </w:rPr>
        <w:t>.</w:t>
      </w:r>
      <w:r w:rsidRPr="00DE697C">
        <w:rPr>
          <w:sz w:val="24"/>
          <w:szCs w:val="24"/>
        </w:rPr>
        <w:t xml:space="preserve"> it was found that the youngest patient was two years old</w:t>
      </w:r>
      <w:r w:rsidR="00D15337" w:rsidRPr="00DE697C">
        <w:rPr>
          <w:sz w:val="24"/>
          <w:szCs w:val="24"/>
        </w:rPr>
        <w:t>.</w:t>
      </w:r>
      <w:r w:rsidRPr="00DE697C">
        <w:rPr>
          <w:sz w:val="24"/>
          <w:szCs w:val="24"/>
        </w:rPr>
        <w:t xml:space="preserve"> while the oldest patient was 54 years old. This study shows that the adult age range</w:t>
      </w:r>
      <w:r w:rsidR="00D15337" w:rsidRPr="00DE697C">
        <w:rPr>
          <w:sz w:val="24"/>
          <w:szCs w:val="24"/>
        </w:rPr>
        <w:t>.</w:t>
      </w:r>
      <w:r w:rsidRPr="00DE697C">
        <w:rPr>
          <w:sz w:val="24"/>
          <w:szCs w:val="24"/>
        </w:rPr>
        <w:t xml:space="preserve"> specifically the 19–59 age group</w:t>
      </w:r>
      <w:r w:rsidR="00D15337" w:rsidRPr="00DE697C">
        <w:rPr>
          <w:sz w:val="24"/>
          <w:szCs w:val="24"/>
        </w:rPr>
        <w:t>.</w:t>
      </w:r>
      <w:r w:rsidRPr="00DE697C">
        <w:rPr>
          <w:sz w:val="24"/>
          <w:szCs w:val="24"/>
        </w:rPr>
        <w:t xml:space="preserve"> had the highest number of patients</w:t>
      </w:r>
      <w:r w:rsidR="00D15337" w:rsidRPr="00DE697C">
        <w:rPr>
          <w:sz w:val="24"/>
          <w:szCs w:val="24"/>
        </w:rPr>
        <w:t>.</w:t>
      </w:r>
      <w:r w:rsidRPr="00DE697C">
        <w:rPr>
          <w:sz w:val="24"/>
          <w:szCs w:val="24"/>
        </w:rPr>
        <w:t xml:space="preserve"> totaling 14 individuals or 73.7% of the entire sample. In the pediatric category</w:t>
      </w:r>
      <w:r w:rsidR="00D15337" w:rsidRPr="00DE697C">
        <w:rPr>
          <w:sz w:val="24"/>
          <w:szCs w:val="24"/>
        </w:rPr>
        <w:t>.</w:t>
      </w:r>
      <w:r w:rsidRPr="00DE697C">
        <w:rPr>
          <w:sz w:val="24"/>
          <w:szCs w:val="24"/>
        </w:rPr>
        <w:t xml:space="preserve"> covering the 5–9 age range</w:t>
      </w:r>
      <w:r w:rsidR="00D15337" w:rsidRPr="00DE697C">
        <w:rPr>
          <w:sz w:val="24"/>
          <w:szCs w:val="24"/>
        </w:rPr>
        <w:t>.</w:t>
      </w:r>
      <w:r w:rsidRPr="00DE697C">
        <w:rPr>
          <w:sz w:val="24"/>
          <w:szCs w:val="24"/>
        </w:rPr>
        <w:t xml:space="preserve"> one patient was found</w:t>
      </w:r>
      <w:r w:rsidR="00D15337" w:rsidRPr="00DE697C">
        <w:rPr>
          <w:sz w:val="24"/>
          <w:szCs w:val="24"/>
        </w:rPr>
        <w:t>.</w:t>
      </w:r>
      <w:r w:rsidRPr="00DE697C">
        <w:rPr>
          <w:sz w:val="24"/>
          <w:szCs w:val="24"/>
        </w:rPr>
        <w:t xml:space="preserve"> accounting for 5.3%. Meanwhile</w:t>
      </w:r>
      <w:r w:rsidR="00D15337" w:rsidRPr="00DE697C">
        <w:rPr>
          <w:sz w:val="24"/>
          <w:szCs w:val="24"/>
        </w:rPr>
        <w:t>.</w:t>
      </w:r>
      <w:r w:rsidRPr="00DE697C">
        <w:rPr>
          <w:sz w:val="24"/>
          <w:szCs w:val="24"/>
        </w:rPr>
        <w:t xml:space="preserve"> adolescents aged 10–18 recorded a total of 3 individuals</w:t>
      </w:r>
      <w:r w:rsidR="00D15337" w:rsidRPr="00DE697C">
        <w:rPr>
          <w:sz w:val="24"/>
          <w:szCs w:val="24"/>
        </w:rPr>
        <w:t>.</w:t>
      </w:r>
      <w:r w:rsidRPr="00DE697C">
        <w:rPr>
          <w:sz w:val="24"/>
          <w:szCs w:val="24"/>
        </w:rPr>
        <w:t xml:space="preserve"> or 15.8%. The elderly</w:t>
      </w:r>
      <w:r w:rsidR="00D15337" w:rsidRPr="00DE697C">
        <w:rPr>
          <w:sz w:val="24"/>
          <w:szCs w:val="24"/>
        </w:rPr>
        <w:t>.</w:t>
      </w:r>
      <w:r w:rsidRPr="00DE697C">
        <w:rPr>
          <w:sz w:val="24"/>
          <w:szCs w:val="24"/>
        </w:rPr>
        <w:t xml:space="preserve"> categorized as those aged 60 years and above</w:t>
      </w:r>
      <w:r w:rsidR="00D15337" w:rsidRPr="00DE697C">
        <w:rPr>
          <w:sz w:val="24"/>
          <w:szCs w:val="24"/>
        </w:rPr>
        <w:t>.</w:t>
      </w:r>
      <w:r w:rsidRPr="00DE697C">
        <w:rPr>
          <w:sz w:val="24"/>
          <w:szCs w:val="24"/>
        </w:rPr>
        <w:t xml:space="preserve"> were represented by one patient</w:t>
      </w:r>
      <w:r w:rsidR="00D15337" w:rsidRPr="00DE697C">
        <w:rPr>
          <w:sz w:val="24"/>
          <w:szCs w:val="24"/>
        </w:rPr>
        <w:t>.</w:t>
      </w:r>
      <w:r w:rsidRPr="00DE697C">
        <w:rPr>
          <w:sz w:val="24"/>
          <w:szCs w:val="24"/>
        </w:rPr>
        <w:t xml:space="preserve"> also accounting for 5.3%. This data provides a clear overview of the age distribution of traumatic optic neuropathy (TON) patients at RSUP Ngoerah Denpasar during the 2022–2023 period. It highlights the dominance of the adult age group in TON cases</w:t>
      </w:r>
      <w:r w:rsidR="00D15337" w:rsidRPr="00DE697C">
        <w:rPr>
          <w:sz w:val="24"/>
          <w:szCs w:val="24"/>
        </w:rPr>
        <w:t>.</w:t>
      </w:r>
      <w:r w:rsidRPr="00DE697C">
        <w:rPr>
          <w:sz w:val="24"/>
          <w:szCs w:val="24"/>
        </w:rPr>
        <w:t xml:space="preserve"> while the pediatric and elderly groups recorded smaller proportions. The data obtained serves as an important reference for understanding patient age characteristics and aiding in the planning of more effective medical interventions in the future. The complete results of this age characteristic distribution are presented in the table below.</w:t>
      </w:r>
    </w:p>
    <w:p w14:paraId="6B028190" w14:textId="77777777" w:rsidR="005A79A8" w:rsidRPr="00DE697C" w:rsidRDefault="005A79A8" w:rsidP="00DE697C">
      <w:pPr>
        <w:tabs>
          <w:tab w:val="left" w:pos="717"/>
          <w:tab w:val="left" w:pos="7513"/>
        </w:tabs>
        <w:ind w:right="95"/>
        <w:jc w:val="both"/>
        <w:rPr>
          <w:b/>
          <w:bCs/>
          <w:sz w:val="24"/>
          <w:szCs w:val="24"/>
        </w:rPr>
      </w:pPr>
    </w:p>
    <w:p w14:paraId="3D1A4E28" w14:textId="5EA4DC5B" w:rsidR="003D4BCA" w:rsidRPr="00DE697C" w:rsidRDefault="005A79A8" w:rsidP="00DE697C">
      <w:pPr>
        <w:tabs>
          <w:tab w:val="left" w:pos="7513"/>
        </w:tabs>
        <w:ind w:left="1276" w:right="95" w:hanging="1276"/>
        <w:jc w:val="both"/>
        <w:rPr>
          <w:b/>
          <w:bCs/>
        </w:rPr>
      </w:pPr>
      <w:r w:rsidRPr="00DE697C">
        <w:rPr>
          <w:b/>
          <w:bCs/>
        </w:rPr>
        <w:t>Table</w:t>
      </w:r>
      <w:r w:rsidR="00AA4318" w:rsidRPr="00DE697C">
        <w:rPr>
          <w:b/>
          <w:bCs/>
        </w:rPr>
        <w:t xml:space="preserve"> 2. </w:t>
      </w:r>
      <w:r w:rsidR="00DE697C">
        <w:rPr>
          <w:b/>
          <w:bCs/>
        </w:rPr>
        <w:tab/>
      </w:r>
      <w:r w:rsidR="003D4BCA" w:rsidRPr="00DE697C">
        <w:rPr>
          <w:b/>
          <w:bCs/>
        </w:rPr>
        <w:t xml:space="preserve">Characteristics of Traumatic Optic Neuropathy Patients Based on Age at RSUP </w:t>
      </w:r>
      <w:r w:rsidRPr="00DE697C">
        <w:rPr>
          <w:b/>
          <w:bCs/>
        </w:rPr>
        <w:t xml:space="preserve">Ngoerah Denpasar </w:t>
      </w:r>
      <w:r w:rsidR="003D4BCA" w:rsidRPr="00DE697C">
        <w:rPr>
          <w:b/>
          <w:bCs/>
        </w:rPr>
        <w:t>Denpasar in 2022–2023</w:t>
      </w:r>
    </w:p>
    <w:tbl>
      <w:tblPr>
        <w:tblW w:w="8931" w:type="dxa"/>
        <w:tblLayout w:type="fixed"/>
        <w:tblCellMar>
          <w:left w:w="0" w:type="dxa"/>
          <w:right w:w="0" w:type="dxa"/>
        </w:tblCellMar>
        <w:tblLook w:val="01E0" w:firstRow="1" w:lastRow="1" w:firstColumn="1" w:lastColumn="1" w:noHBand="0" w:noVBand="0"/>
      </w:tblPr>
      <w:tblGrid>
        <w:gridCol w:w="2839"/>
        <w:gridCol w:w="2882"/>
        <w:gridCol w:w="3210"/>
      </w:tblGrid>
      <w:tr w:rsidR="00DE697C" w:rsidRPr="00DE697C" w14:paraId="18EF4004" w14:textId="77777777" w:rsidTr="00DE697C">
        <w:trPr>
          <w:trHeight w:val="70"/>
        </w:trPr>
        <w:tc>
          <w:tcPr>
            <w:tcW w:w="2839" w:type="dxa"/>
            <w:tcBorders>
              <w:top w:val="single" w:sz="4" w:space="0" w:color="7E7E7E"/>
              <w:bottom w:val="single" w:sz="4" w:space="0" w:color="000000"/>
            </w:tcBorders>
          </w:tcPr>
          <w:p w14:paraId="42FE27F7" w14:textId="722C6192" w:rsidR="0091644C" w:rsidRPr="00DE697C" w:rsidRDefault="0091644C" w:rsidP="00DE697C">
            <w:pPr>
              <w:pStyle w:val="TableParagraph"/>
              <w:tabs>
                <w:tab w:val="left" w:pos="7513"/>
              </w:tabs>
              <w:ind w:right="95"/>
              <w:jc w:val="both"/>
              <w:rPr>
                <w:b/>
                <w:sz w:val="20"/>
                <w:szCs w:val="20"/>
              </w:rPr>
            </w:pPr>
            <w:r w:rsidRPr="00DE697C">
              <w:rPr>
                <w:b/>
                <w:sz w:val="20"/>
                <w:szCs w:val="20"/>
              </w:rPr>
              <w:t>Age</w:t>
            </w:r>
          </w:p>
        </w:tc>
        <w:tc>
          <w:tcPr>
            <w:tcW w:w="2882" w:type="dxa"/>
            <w:tcBorders>
              <w:top w:val="single" w:sz="4" w:space="0" w:color="7E7E7E"/>
              <w:bottom w:val="single" w:sz="4" w:space="0" w:color="000000"/>
            </w:tcBorders>
          </w:tcPr>
          <w:p w14:paraId="2B50148F" w14:textId="4C171F61" w:rsidR="0091644C" w:rsidRPr="00DE697C" w:rsidRDefault="0091644C" w:rsidP="00DE697C">
            <w:pPr>
              <w:pStyle w:val="TableParagraph"/>
              <w:tabs>
                <w:tab w:val="left" w:pos="7513"/>
              </w:tabs>
              <w:ind w:right="95"/>
              <w:jc w:val="both"/>
              <w:rPr>
                <w:b/>
                <w:sz w:val="20"/>
                <w:szCs w:val="20"/>
              </w:rPr>
            </w:pPr>
            <w:r w:rsidRPr="00DE697C">
              <w:rPr>
                <w:b/>
                <w:sz w:val="20"/>
                <w:szCs w:val="20"/>
              </w:rPr>
              <w:t>Frequency (N</w:t>
            </w:r>
            <w:r w:rsidRPr="00DE697C">
              <w:rPr>
                <w:b/>
                <w:spacing w:val="-3"/>
                <w:sz w:val="20"/>
                <w:szCs w:val="20"/>
              </w:rPr>
              <w:t xml:space="preserve"> </w:t>
            </w:r>
            <w:r w:rsidRPr="00DE697C">
              <w:rPr>
                <w:b/>
                <w:sz w:val="20"/>
                <w:szCs w:val="20"/>
              </w:rPr>
              <w:t>=</w:t>
            </w:r>
            <w:r w:rsidRPr="00DE697C">
              <w:rPr>
                <w:b/>
                <w:spacing w:val="-1"/>
                <w:sz w:val="20"/>
                <w:szCs w:val="20"/>
              </w:rPr>
              <w:t xml:space="preserve"> </w:t>
            </w:r>
            <w:r w:rsidRPr="00DE697C">
              <w:rPr>
                <w:b/>
                <w:sz w:val="20"/>
                <w:szCs w:val="20"/>
              </w:rPr>
              <w:t>19)</w:t>
            </w:r>
          </w:p>
        </w:tc>
        <w:tc>
          <w:tcPr>
            <w:tcW w:w="3210" w:type="dxa"/>
            <w:tcBorders>
              <w:top w:val="single" w:sz="4" w:space="0" w:color="7E7E7E"/>
              <w:bottom w:val="single" w:sz="4" w:space="0" w:color="000000"/>
            </w:tcBorders>
          </w:tcPr>
          <w:p w14:paraId="3A318605" w14:textId="1F30CF88" w:rsidR="0091644C" w:rsidRPr="00DE697C" w:rsidRDefault="00D15337" w:rsidP="00DE697C">
            <w:pPr>
              <w:pStyle w:val="TableParagraph"/>
              <w:tabs>
                <w:tab w:val="left" w:pos="7513"/>
              </w:tabs>
              <w:ind w:right="95"/>
              <w:jc w:val="both"/>
              <w:rPr>
                <w:b/>
                <w:sz w:val="20"/>
                <w:szCs w:val="20"/>
              </w:rPr>
            </w:pPr>
            <w:r w:rsidRPr="00DE697C">
              <w:rPr>
                <w:rStyle w:val="rynqvb"/>
                <w:b/>
                <w:bCs/>
                <w:sz w:val="20"/>
                <w:szCs w:val="20"/>
                <w:lang w:val="en"/>
              </w:rPr>
              <w:t>Percentage</w:t>
            </w:r>
            <w:r w:rsidR="0091644C" w:rsidRPr="00DE697C">
              <w:rPr>
                <w:b/>
                <w:sz w:val="20"/>
                <w:szCs w:val="20"/>
              </w:rPr>
              <w:t xml:space="preserve"> (%)</w:t>
            </w:r>
          </w:p>
        </w:tc>
      </w:tr>
      <w:tr w:rsidR="00DE697C" w:rsidRPr="00DE697C" w14:paraId="266C9738" w14:textId="77777777" w:rsidTr="00DE697C">
        <w:trPr>
          <w:trHeight w:val="70"/>
        </w:trPr>
        <w:tc>
          <w:tcPr>
            <w:tcW w:w="2839" w:type="dxa"/>
            <w:tcBorders>
              <w:top w:val="single" w:sz="4" w:space="0" w:color="000000"/>
            </w:tcBorders>
          </w:tcPr>
          <w:p w14:paraId="2D7796E5" w14:textId="0CE35A8A" w:rsidR="005A79A8" w:rsidRPr="00DE697C" w:rsidRDefault="0091644C" w:rsidP="00DE697C">
            <w:pPr>
              <w:pStyle w:val="TableParagraph"/>
              <w:tabs>
                <w:tab w:val="left" w:pos="7513"/>
              </w:tabs>
              <w:ind w:right="95"/>
              <w:jc w:val="both"/>
              <w:rPr>
                <w:bCs/>
                <w:sz w:val="20"/>
                <w:szCs w:val="20"/>
              </w:rPr>
            </w:pPr>
            <w:r w:rsidRPr="00DE697C">
              <w:rPr>
                <w:bCs/>
                <w:sz w:val="20"/>
                <w:szCs w:val="20"/>
              </w:rPr>
              <w:t>5-9</w:t>
            </w:r>
          </w:p>
        </w:tc>
        <w:tc>
          <w:tcPr>
            <w:tcW w:w="2882" w:type="dxa"/>
            <w:tcBorders>
              <w:top w:val="single" w:sz="4" w:space="0" w:color="000000"/>
            </w:tcBorders>
          </w:tcPr>
          <w:p w14:paraId="5FE4A6EE" w14:textId="5D633452" w:rsidR="005A79A8" w:rsidRPr="00DE697C" w:rsidRDefault="005A79A8" w:rsidP="00DE697C">
            <w:pPr>
              <w:pStyle w:val="TableParagraph"/>
              <w:tabs>
                <w:tab w:val="left" w:pos="7513"/>
              </w:tabs>
              <w:ind w:right="95"/>
              <w:jc w:val="both"/>
              <w:rPr>
                <w:sz w:val="20"/>
                <w:szCs w:val="20"/>
              </w:rPr>
            </w:pPr>
            <w:r w:rsidRPr="00DE697C">
              <w:rPr>
                <w:sz w:val="20"/>
                <w:szCs w:val="20"/>
              </w:rPr>
              <w:t>1</w:t>
            </w:r>
          </w:p>
        </w:tc>
        <w:tc>
          <w:tcPr>
            <w:tcW w:w="3210" w:type="dxa"/>
            <w:tcBorders>
              <w:top w:val="single" w:sz="4" w:space="0" w:color="000000"/>
            </w:tcBorders>
          </w:tcPr>
          <w:p w14:paraId="61E4ED33" w14:textId="69B92C44" w:rsidR="005A79A8" w:rsidRPr="00DE697C" w:rsidRDefault="0091644C" w:rsidP="00DE697C">
            <w:pPr>
              <w:pStyle w:val="TableParagraph"/>
              <w:tabs>
                <w:tab w:val="left" w:pos="7513"/>
              </w:tabs>
              <w:ind w:right="95"/>
              <w:jc w:val="both"/>
              <w:rPr>
                <w:sz w:val="20"/>
                <w:szCs w:val="20"/>
              </w:rPr>
            </w:pPr>
            <w:r w:rsidRPr="00DE697C">
              <w:rPr>
                <w:sz w:val="20"/>
                <w:szCs w:val="20"/>
              </w:rPr>
              <w:t>5.3</w:t>
            </w:r>
          </w:p>
        </w:tc>
      </w:tr>
      <w:tr w:rsidR="00DE697C" w:rsidRPr="00DE697C" w14:paraId="0D6105B5" w14:textId="77777777" w:rsidTr="00DE697C">
        <w:trPr>
          <w:trHeight w:val="80"/>
        </w:trPr>
        <w:tc>
          <w:tcPr>
            <w:tcW w:w="2839" w:type="dxa"/>
          </w:tcPr>
          <w:p w14:paraId="2EF20315" w14:textId="6026DA3A" w:rsidR="005A79A8" w:rsidRPr="00DE697C" w:rsidRDefault="0091644C" w:rsidP="00DE697C">
            <w:pPr>
              <w:pStyle w:val="TableParagraph"/>
              <w:tabs>
                <w:tab w:val="left" w:pos="7513"/>
              </w:tabs>
              <w:ind w:right="95"/>
              <w:jc w:val="both"/>
              <w:rPr>
                <w:bCs/>
                <w:sz w:val="20"/>
                <w:szCs w:val="20"/>
              </w:rPr>
            </w:pPr>
            <w:r w:rsidRPr="00DE697C">
              <w:rPr>
                <w:bCs/>
                <w:sz w:val="20"/>
                <w:szCs w:val="20"/>
              </w:rPr>
              <w:t>10-18</w:t>
            </w:r>
          </w:p>
        </w:tc>
        <w:tc>
          <w:tcPr>
            <w:tcW w:w="2882" w:type="dxa"/>
          </w:tcPr>
          <w:p w14:paraId="156CF7E6" w14:textId="0E2775FA" w:rsidR="005A79A8" w:rsidRPr="00DE697C" w:rsidRDefault="0091644C" w:rsidP="00DE697C">
            <w:pPr>
              <w:pStyle w:val="TableParagraph"/>
              <w:tabs>
                <w:tab w:val="left" w:pos="7513"/>
              </w:tabs>
              <w:ind w:right="95"/>
              <w:jc w:val="both"/>
              <w:rPr>
                <w:sz w:val="20"/>
                <w:szCs w:val="20"/>
              </w:rPr>
            </w:pPr>
            <w:r w:rsidRPr="00DE697C">
              <w:rPr>
                <w:sz w:val="20"/>
                <w:szCs w:val="20"/>
              </w:rPr>
              <w:t>3</w:t>
            </w:r>
          </w:p>
        </w:tc>
        <w:tc>
          <w:tcPr>
            <w:tcW w:w="3210" w:type="dxa"/>
          </w:tcPr>
          <w:p w14:paraId="106F0009" w14:textId="13B22893" w:rsidR="005A79A8" w:rsidRPr="00DE697C" w:rsidRDefault="0091644C" w:rsidP="00DE697C">
            <w:pPr>
              <w:pStyle w:val="TableParagraph"/>
              <w:tabs>
                <w:tab w:val="left" w:pos="7513"/>
              </w:tabs>
              <w:ind w:right="95"/>
              <w:jc w:val="both"/>
              <w:rPr>
                <w:sz w:val="20"/>
                <w:szCs w:val="20"/>
              </w:rPr>
            </w:pPr>
            <w:r w:rsidRPr="00DE697C">
              <w:rPr>
                <w:sz w:val="20"/>
                <w:szCs w:val="20"/>
              </w:rPr>
              <w:t>15.8</w:t>
            </w:r>
          </w:p>
        </w:tc>
      </w:tr>
      <w:tr w:rsidR="00DE697C" w:rsidRPr="00DE697C" w14:paraId="221ADEDB" w14:textId="77777777" w:rsidTr="00DE697C">
        <w:trPr>
          <w:trHeight w:val="80"/>
        </w:trPr>
        <w:tc>
          <w:tcPr>
            <w:tcW w:w="2839" w:type="dxa"/>
          </w:tcPr>
          <w:p w14:paraId="22292D0A" w14:textId="7AD2340C" w:rsidR="0091644C" w:rsidRPr="00DE697C" w:rsidRDefault="0091644C" w:rsidP="00DE697C">
            <w:pPr>
              <w:pStyle w:val="TableParagraph"/>
              <w:tabs>
                <w:tab w:val="left" w:pos="7513"/>
              </w:tabs>
              <w:ind w:right="95"/>
              <w:jc w:val="both"/>
              <w:rPr>
                <w:bCs/>
                <w:sz w:val="20"/>
                <w:szCs w:val="20"/>
              </w:rPr>
            </w:pPr>
            <w:r w:rsidRPr="00DE697C">
              <w:rPr>
                <w:bCs/>
                <w:sz w:val="20"/>
                <w:szCs w:val="20"/>
              </w:rPr>
              <w:t>19-59</w:t>
            </w:r>
          </w:p>
        </w:tc>
        <w:tc>
          <w:tcPr>
            <w:tcW w:w="2882" w:type="dxa"/>
          </w:tcPr>
          <w:p w14:paraId="20B1A36A" w14:textId="7A70172E" w:rsidR="0091644C" w:rsidRPr="00DE697C" w:rsidRDefault="0091644C" w:rsidP="00DE697C">
            <w:pPr>
              <w:pStyle w:val="TableParagraph"/>
              <w:tabs>
                <w:tab w:val="left" w:pos="7513"/>
              </w:tabs>
              <w:ind w:right="95"/>
              <w:jc w:val="both"/>
              <w:rPr>
                <w:sz w:val="20"/>
                <w:szCs w:val="20"/>
              </w:rPr>
            </w:pPr>
            <w:r w:rsidRPr="00DE697C">
              <w:rPr>
                <w:sz w:val="20"/>
                <w:szCs w:val="20"/>
              </w:rPr>
              <w:t>14</w:t>
            </w:r>
          </w:p>
        </w:tc>
        <w:tc>
          <w:tcPr>
            <w:tcW w:w="3210" w:type="dxa"/>
          </w:tcPr>
          <w:p w14:paraId="59D6D79F" w14:textId="5497E241" w:rsidR="0091644C" w:rsidRPr="00DE697C" w:rsidRDefault="0091644C" w:rsidP="00DE697C">
            <w:pPr>
              <w:pStyle w:val="TableParagraph"/>
              <w:tabs>
                <w:tab w:val="left" w:pos="7513"/>
              </w:tabs>
              <w:ind w:right="95"/>
              <w:jc w:val="both"/>
              <w:rPr>
                <w:sz w:val="20"/>
                <w:szCs w:val="20"/>
              </w:rPr>
            </w:pPr>
            <w:r w:rsidRPr="00DE697C">
              <w:rPr>
                <w:sz w:val="20"/>
                <w:szCs w:val="20"/>
              </w:rPr>
              <w:t>73.7</w:t>
            </w:r>
          </w:p>
        </w:tc>
      </w:tr>
      <w:tr w:rsidR="00DE697C" w:rsidRPr="00DE697C" w14:paraId="3FC1E717" w14:textId="77777777" w:rsidTr="00DE697C">
        <w:trPr>
          <w:trHeight w:val="80"/>
        </w:trPr>
        <w:tc>
          <w:tcPr>
            <w:tcW w:w="2839" w:type="dxa"/>
            <w:tcBorders>
              <w:bottom w:val="single" w:sz="4" w:space="0" w:color="auto"/>
            </w:tcBorders>
          </w:tcPr>
          <w:p w14:paraId="7BE44734" w14:textId="174ECC06" w:rsidR="0091644C" w:rsidRPr="00DE697C" w:rsidRDefault="0091644C" w:rsidP="00DE697C">
            <w:pPr>
              <w:pStyle w:val="TableParagraph"/>
              <w:tabs>
                <w:tab w:val="left" w:pos="7513"/>
              </w:tabs>
              <w:ind w:right="95"/>
              <w:jc w:val="both"/>
              <w:rPr>
                <w:bCs/>
                <w:sz w:val="20"/>
                <w:szCs w:val="20"/>
              </w:rPr>
            </w:pPr>
            <w:r w:rsidRPr="00DE697C">
              <w:rPr>
                <w:bCs/>
                <w:sz w:val="20"/>
                <w:szCs w:val="20"/>
              </w:rPr>
              <w:t>&gt;60</w:t>
            </w:r>
          </w:p>
        </w:tc>
        <w:tc>
          <w:tcPr>
            <w:tcW w:w="2882" w:type="dxa"/>
            <w:tcBorders>
              <w:bottom w:val="single" w:sz="4" w:space="0" w:color="auto"/>
            </w:tcBorders>
          </w:tcPr>
          <w:p w14:paraId="7F8C9950" w14:textId="393638F2" w:rsidR="0091644C" w:rsidRPr="00DE697C" w:rsidRDefault="0091644C" w:rsidP="00DE697C">
            <w:pPr>
              <w:pStyle w:val="TableParagraph"/>
              <w:tabs>
                <w:tab w:val="left" w:pos="7513"/>
              </w:tabs>
              <w:ind w:right="95"/>
              <w:jc w:val="both"/>
              <w:rPr>
                <w:sz w:val="20"/>
                <w:szCs w:val="20"/>
              </w:rPr>
            </w:pPr>
            <w:r w:rsidRPr="00DE697C">
              <w:rPr>
                <w:sz w:val="20"/>
                <w:szCs w:val="20"/>
              </w:rPr>
              <w:t>1</w:t>
            </w:r>
          </w:p>
        </w:tc>
        <w:tc>
          <w:tcPr>
            <w:tcW w:w="3210" w:type="dxa"/>
            <w:tcBorders>
              <w:bottom w:val="single" w:sz="4" w:space="0" w:color="auto"/>
            </w:tcBorders>
          </w:tcPr>
          <w:p w14:paraId="4FE282D4" w14:textId="07E22461" w:rsidR="0091644C" w:rsidRPr="00DE697C" w:rsidRDefault="0091644C" w:rsidP="00DE697C">
            <w:pPr>
              <w:pStyle w:val="TableParagraph"/>
              <w:tabs>
                <w:tab w:val="left" w:pos="7513"/>
              </w:tabs>
              <w:ind w:right="95"/>
              <w:jc w:val="both"/>
              <w:rPr>
                <w:sz w:val="20"/>
                <w:szCs w:val="20"/>
              </w:rPr>
            </w:pPr>
            <w:r w:rsidRPr="00DE697C">
              <w:rPr>
                <w:sz w:val="20"/>
                <w:szCs w:val="20"/>
              </w:rPr>
              <w:t>5.3</w:t>
            </w:r>
          </w:p>
        </w:tc>
      </w:tr>
      <w:tr w:rsidR="00DE697C" w:rsidRPr="00DE697C" w14:paraId="09017AF3" w14:textId="77777777" w:rsidTr="00DE697C">
        <w:trPr>
          <w:trHeight w:val="70"/>
        </w:trPr>
        <w:tc>
          <w:tcPr>
            <w:tcW w:w="2839" w:type="dxa"/>
            <w:tcBorders>
              <w:top w:val="single" w:sz="4" w:space="0" w:color="auto"/>
              <w:bottom w:val="single" w:sz="4" w:space="0" w:color="auto"/>
            </w:tcBorders>
          </w:tcPr>
          <w:p w14:paraId="5E249937" w14:textId="1047FB97" w:rsidR="005A79A8" w:rsidRPr="00DE697C" w:rsidRDefault="00FD2F1F" w:rsidP="00DE697C">
            <w:pPr>
              <w:pStyle w:val="TableParagraph"/>
              <w:tabs>
                <w:tab w:val="left" w:pos="7513"/>
              </w:tabs>
              <w:ind w:right="95"/>
              <w:jc w:val="both"/>
              <w:rPr>
                <w:b/>
                <w:sz w:val="20"/>
                <w:szCs w:val="20"/>
              </w:rPr>
            </w:pPr>
            <w:r w:rsidRPr="00DE697C">
              <w:rPr>
                <w:b/>
                <w:sz w:val="20"/>
                <w:szCs w:val="20"/>
              </w:rPr>
              <w:t>Total</w:t>
            </w:r>
          </w:p>
        </w:tc>
        <w:tc>
          <w:tcPr>
            <w:tcW w:w="2882" w:type="dxa"/>
            <w:tcBorders>
              <w:top w:val="single" w:sz="4" w:space="0" w:color="auto"/>
              <w:bottom w:val="single" w:sz="4" w:space="0" w:color="auto"/>
            </w:tcBorders>
          </w:tcPr>
          <w:p w14:paraId="3D16B01E" w14:textId="77777777" w:rsidR="005A79A8" w:rsidRPr="00DE697C" w:rsidRDefault="005A79A8" w:rsidP="00DE697C">
            <w:pPr>
              <w:pStyle w:val="TableParagraph"/>
              <w:tabs>
                <w:tab w:val="left" w:pos="7513"/>
              </w:tabs>
              <w:ind w:right="95"/>
              <w:jc w:val="both"/>
              <w:rPr>
                <w:b/>
                <w:sz w:val="20"/>
                <w:szCs w:val="20"/>
              </w:rPr>
            </w:pPr>
            <w:r w:rsidRPr="00DE697C">
              <w:rPr>
                <w:b/>
                <w:sz w:val="20"/>
                <w:szCs w:val="20"/>
              </w:rPr>
              <w:t>19</w:t>
            </w:r>
          </w:p>
        </w:tc>
        <w:tc>
          <w:tcPr>
            <w:tcW w:w="3210" w:type="dxa"/>
            <w:tcBorders>
              <w:top w:val="single" w:sz="4" w:space="0" w:color="auto"/>
              <w:bottom w:val="single" w:sz="4" w:space="0" w:color="auto"/>
            </w:tcBorders>
          </w:tcPr>
          <w:p w14:paraId="2A6F4046" w14:textId="77777777" w:rsidR="005A79A8" w:rsidRPr="00DE697C" w:rsidRDefault="005A79A8" w:rsidP="00DE697C">
            <w:pPr>
              <w:pStyle w:val="TableParagraph"/>
              <w:tabs>
                <w:tab w:val="left" w:pos="7513"/>
              </w:tabs>
              <w:ind w:right="95"/>
              <w:jc w:val="both"/>
              <w:rPr>
                <w:b/>
                <w:sz w:val="20"/>
                <w:szCs w:val="20"/>
              </w:rPr>
            </w:pPr>
            <w:r w:rsidRPr="00DE697C">
              <w:rPr>
                <w:b/>
                <w:sz w:val="20"/>
                <w:szCs w:val="20"/>
              </w:rPr>
              <w:t>100</w:t>
            </w:r>
          </w:p>
        </w:tc>
      </w:tr>
    </w:tbl>
    <w:p w14:paraId="0090A866" w14:textId="77777777" w:rsidR="005A79A8" w:rsidRPr="00DE697C" w:rsidRDefault="005A79A8" w:rsidP="00DE697C">
      <w:pPr>
        <w:tabs>
          <w:tab w:val="left" w:pos="717"/>
          <w:tab w:val="left" w:pos="7513"/>
        </w:tabs>
        <w:ind w:right="95"/>
        <w:jc w:val="both"/>
        <w:rPr>
          <w:b/>
          <w:bCs/>
          <w:sz w:val="24"/>
          <w:szCs w:val="24"/>
        </w:rPr>
      </w:pPr>
    </w:p>
    <w:p w14:paraId="540D0683" w14:textId="4086BB43" w:rsidR="003D4BCA" w:rsidRDefault="003D4BCA" w:rsidP="00DE697C">
      <w:pPr>
        <w:tabs>
          <w:tab w:val="left" w:pos="717"/>
          <w:tab w:val="left" w:pos="7513"/>
        </w:tabs>
        <w:ind w:right="95" w:firstLine="426"/>
        <w:jc w:val="both"/>
        <w:rPr>
          <w:sz w:val="24"/>
          <w:szCs w:val="24"/>
        </w:rPr>
      </w:pPr>
      <w:r w:rsidRPr="00DE697C">
        <w:rPr>
          <w:sz w:val="24"/>
          <w:szCs w:val="24"/>
        </w:rPr>
        <w:t>The results of this study show that the majority of traumatic optic neuropathy (TON) patients were from Tabanan</w:t>
      </w:r>
      <w:r w:rsidR="00D15337" w:rsidRPr="00DE697C">
        <w:rPr>
          <w:sz w:val="24"/>
          <w:szCs w:val="24"/>
        </w:rPr>
        <w:t>.</w:t>
      </w:r>
      <w:r w:rsidRPr="00DE697C">
        <w:rPr>
          <w:sz w:val="24"/>
          <w:szCs w:val="24"/>
        </w:rPr>
        <w:t xml:space="preserve"> with 6 individuals (31.6%)</w:t>
      </w:r>
      <w:r w:rsidR="00D15337" w:rsidRPr="00DE697C">
        <w:rPr>
          <w:sz w:val="24"/>
          <w:szCs w:val="24"/>
        </w:rPr>
        <w:t>.</w:t>
      </w:r>
      <w:r w:rsidRPr="00DE697C">
        <w:rPr>
          <w:sz w:val="24"/>
          <w:szCs w:val="24"/>
        </w:rPr>
        <w:t xml:space="preserve"> followed by Gianyar with 4 individuals (21.1%). Buleleng</w:t>
      </w:r>
      <w:r w:rsidR="00D15337" w:rsidRPr="00DE697C">
        <w:rPr>
          <w:sz w:val="24"/>
          <w:szCs w:val="24"/>
        </w:rPr>
        <w:t>.</w:t>
      </w:r>
      <w:r w:rsidRPr="00DE697C">
        <w:rPr>
          <w:sz w:val="24"/>
          <w:szCs w:val="24"/>
        </w:rPr>
        <w:t xml:space="preserve"> Klungkung</w:t>
      </w:r>
      <w:r w:rsidR="00D15337" w:rsidRPr="00DE697C">
        <w:rPr>
          <w:sz w:val="24"/>
          <w:szCs w:val="24"/>
        </w:rPr>
        <w:t>.</w:t>
      </w:r>
      <w:r w:rsidRPr="00DE697C">
        <w:rPr>
          <w:sz w:val="24"/>
          <w:szCs w:val="24"/>
        </w:rPr>
        <w:t xml:space="preserve"> Denpasar</w:t>
      </w:r>
      <w:r w:rsidR="00D15337" w:rsidRPr="00DE697C">
        <w:rPr>
          <w:sz w:val="24"/>
          <w:szCs w:val="24"/>
        </w:rPr>
        <w:t>.</w:t>
      </w:r>
      <w:r w:rsidRPr="00DE697C">
        <w:rPr>
          <w:sz w:val="24"/>
          <w:szCs w:val="24"/>
        </w:rPr>
        <w:t xml:space="preserve"> and areas outside Bali each accounted for 2 individuals (10.5%)</w:t>
      </w:r>
      <w:r w:rsidR="00D15337" w:rsidRPr="00DE697C">
        <w:rPr>
          <w:sz w:val="24"/>
          <w:szCs w:val="24"/>
        </w:rPr>
        <w:t>.</w:t>
      </w:r>
      <w:r w:rsidRPr="00DE697C">
        <w:rPr>
          <w:sz w:val="24"/>
          <w:szCs w:val="24"/>
        </w:rPr>
        <w:t xml:space="preserve"> while Badung</w:t>
      </w:r>
      <w:r w:rsidR="00D15337" w:rsidRPr="00DE697C">
        <w:rPr>
          <w:sz w:val="24"/>
          <w:szCs w:val="24"/>
        </w:rPr>
        <w:t>.</w:t>
      </w:r>
      <w:r w:rsidRPr="00DE697C">
        <w:rPr>
          <w:sz w:val="24"/>
          <w:szCs w:val="24"/>
        </w:rPr>
        <w:t xml:space="preserve"> Jembrana</w:t>
      </w:r>
      <w:r w:rsidR="00D15337" w:rsidRPr="00DE697C">
        <w:rPr>
          <w:sz w:val="24"/>
          <w:szCs w:val="24"/>
        </w:rPr>
        <w:t>.</w:t>
      </w:r>
      <w:r w:rsidRPr="00DE697C">
        <w:rPr>
          <w:sz w:val="24"/>
          <w:szCs w:val="24"/>
        </w:rPr>
        <w:t xml:space="preserve"> and Karangasem each had 1 individual (5.3%). The distribution of traumatic optic neuropathy patients based on their domicile at RSUP Ngoerah in 2023–2024 is presented in the table below.</w:t>
      </w:r>
    </w:p>
    <w:p w14:paraId="0BCAC505" w14:textId="77777777" w:rsidR="00DE697C" w:rsidRPr="00DE697C" w:rsidRDefault="00DE697C" w:rsidP="00DE697C">
      <w:pPr>
        <w:tabs>
          <w:tab w:val="left" w:pos="717"/>
          <w:tab w:val="left" w:pos="7513"/>
        </w:tabs>
        <w:ind w:right="95" w:firstLine="426"/>
        <w:jc w:val="both"/>
        <w:rPr>
          <w:sz w:val="24"/>
          <w:szCs w:val="24"/>
        </w:rPr>
      </w:pPr>
    </w:p>
    <w:p w14:paraId="12BFA66F" w14:textId="3CE0042A" w:rsidR="00AA4318" w:rsidRPr="00DE697C" w:rsidRDefault="0091644C" w:rsidP="00DE697C">
      <w:pPr>
        <w:tabs>
          <w:tab w:val="left" w:pos="7513"/>
        </w:tabs>
        <w:ind w:left="1276" w:right="95" w:hanging="1276"/>
        <w:jc w:val="both"/>
        <w:rPr>
          <w:b/>
          <w:bCs/>
        </w:rPr>
      </w:pPr>
      <w:r w:rsidRPr="00DE697C">
        <w:rPr>
          <w:b/>
          <w:bCs/>
        </w:rPr>
        <w:t>Table</w:t>
      </w:r>
      <w:r w:rsidR="00AA4318" w:rsidRPr="00DE697C">
        <w:rPr>
          <w:b/>
          <w:bCs/>
        </w:rPr>
        <w:t xml:space="preserve"> 3. </w:t>
      </w:r>
      <w:r w:rsidR="00DE697C">
        <w:rPr>
          <w:b/>
          <w:bCs/>
        </w:rPr>
        <w:tab/>
      </w:r>
      <w:r w:rsidR="00AA4318" w:rsidRPr="00DE697C">
        <w:rPr>
          <w:b/>
          <w:bCs/>
        </w:rPr>
        <w:t xml:space="preserve">Characteristics of Traumatic Optic Neuropathy Patients Based on </w:t>
      </w:r>
      <w:r w:rsidR="00B97535" w:rsidRPr="00DE697C">
        <w:rPr>
          <w:b/>
          <w:bCs/>
        </w:rPr>
        <w:t>Domisilli</w:t>
      </w:r>
      <w:r w:rsidR="00AA4318" w:rsidRPr="00DE697C">
        <w:rPr>
          <w:b/>
          <w:bCs/>
        </w:rPr>
        <w:t xml:space="preserve"> at RSUP </w:t>
      </w:r>
      <w:r w:rsidR="005A79A8" w:rsidRPr="00DE697C">
        <w:rPr>
          <w:b/>
          <w:bCs/>
        </w:rPr>
        <w:t>Ngoerah</w:t>
      </w:r>
      <w:r w:rsidR="00AA4318" w:rsidRPr="00DE697C">
        <w:rPr>
          <w:b/>
          <w:bCs/>
        </w:rPr>
        <w:t xml:space="preserve"> Denpasar in 2022–2023</w:t>
      </w:r>
    </w:p>
    <w:tbl>
      <w:tblPr>
        <w:tblW w:w="9072" w:type="dxa"/>
        <w:tblLayout w:type="fixed"/>
        <w:tblCellMar>
          <w:left w:w="0" w:type="dxa"/>
          <w:right w:w="0" w:type="dxa"/>
        </w:tblCellMar>
        <w:tblLook w:val="01E0" w:firstRow="1" w:lastRow="1" w:firstColumn="1" w:lastColumn="1" w:noHBand="0" w:noVBand="0"/>
      </w:tblPr>
      <w:tblGrid>
        <w:gridCol w:w="2883"/>
        <w:gridCol w:w="2925"/>
        <w:gridCol w:w="3264"/>
      </w:tblGrid>
      <w:tr w:rsidR="00DE697C" w:rsidRPr="00DE697C" w14:paraId="7782112D" w14:textId="77777777" w:rsidTr="00DE697C">
        <w:trPr>
          <w:trHeight w:val="109"/>
        </w:trPr>
        <w:tc>
          <w:tcPr>
            <w:tcW w:w="2883" w:type="dxa"/>
            <w:tcBorders>
              <w:top w:val="single" w:sz="4" w:space="0" w:color="000000"/>
              <w:bottom w:val="single" w:sz="4" w:space="0" w:color="000000"/>
            </w:tcBorders>
          </w:tcPr>
          <w:p w14:paraId="7479EC36" w14:textId="6051D35E" w:rsidR="0091644C" w:rsidRPr="00DE697C" w:rsidRDefault="0091644C" w:rsidP="00DE697C">
            <w:pPr>
              <w:pStyle w:val="TableParagraph"/>
              <w:tabs>
                <w:tab w:val="left" w:pos="7513"/>
              </w:tabs>
              <w:ind w:right="95" w:firstLine="142"/>
              <w:jc w:val="both"/>
              <w:rPr>
                <w:b/>
                <w:sz w:val="20"/>
                <w:szCs w:val="20"/>
              </w:rPr>
            </w:pPr>
            <w:r w:rsidRPr="00DE697C">
              <w:rPr>
                <w:b/>
                <w:sz w:val="20"/>
                <w:szCs w:val="20"/>
              </w:rPr>
              <w:t>Domicile</w:t>
            </w:r>
          </w:p>
        </w:tc>
        <w:tc>
          <w:tcPr>
            <w:tcW w:w="2925" w:type="dxa"/>
            <w:tcBorders>
              <w:top w:val="single" w:sz="4" w:space="0" w:color="000000"/>
              <w:bottom w:val="single" w:sz="4" w:space="0" w:color="000000"/>
            </w:tcBorders>
          </w:tcPr>
          <w:p w14:paraId="0467BC25" w14:textId="2E6D9B58" w:rsidR="0091644C" w:rsidRPr="00DE697C" w:rsidRDefault="0091644C" w:rsidP="00DE697C">
            <w:pPr>
              <w:pStyle w:val="TableParagraph"/>
              <w:tabs>
                <w:tab w:val="left" w:pos="7513"/>
              </w:tabs>
              <w:ind w:right="95" w:firstLine="743"/>
              <w:jc w:val="both"/>
              <w:rPr>
                <w:b/>
                <w:sz w:val="20"/>
                <w:szCs w:val="20"/>
              </w:rPr>
            </w:pPr>
            <w:r w:rsidRPr="00DE697C">
              <w:rPr>
                <w:b/>
                <w:sz w:val="20"/>
                <w:szCs w:val="20"/>
              </w:rPr>
              <w:t>Frequency (N</w:t>
            </w:r>
            <w:r w:rsidRPr="00DE697C">
              <w:rPr>
                <w:b/>
                <w:spacing w:val="-3"/>
                <w:sz w:val="20"/>
                <w:szCs w:val="20"/>
              </w:rPr>
              <w:t xml:space="preserve"> </w:t>
            </w:r>
            <w:r w:rsidRPr="00DE697C">
              <w:rPr>
                <w:b/>
                <w:sz w:val="20"/>
                <w:szCs w:val="20"/>
              </w:rPr>
              <w:t>=</w:t>
            </w:r>
            <w:r w:rsidRPr="00DE697C">
              <w:rPr>
                <w:b/>
                <w:spacing w:val="-1"/>
                <w:sz w:val="20"/>
                <w:szCs w:val="20"/>
              </w:rPr>
              <w:t xml:space="preserve"> </w:t>
            </w:r>
            <w:r w:rsidRPr="00DE697C">
              <w:rPr>
                <w:b/>
                <w:sz w:val="20"/>
                <w:szCs w:val="20"/>
              </w:rPr>
              <w:t>19)</w:t>
            </w:r>
          </w:p>
        </w:tc>
        <w:tc>
          <w:tcPr>
            <w:tcW w:w="3264" w:type="dxa"/>
            <w:tcBorders>
              <w:top w:val="single" w:sz="4" w:space="0" w:color="000000"/>
              <w:bottom w:val="single" w:sz="4" w:space="0" w:color="000000"/>
            </w:tcBorders>
          </w:tcPr>
          <w:p w14:paraId="1AA999E8" w14:textId="5A444D40" w:rsidR="0091644C" w:rsidRPr="00DE697C" w:rsidRDefault="00D15337" w:rsidP="00DE697C">
            <w:pPr>
              <w:pStyle w:val="TableParagraph"/>
              <w:tabs>
                <w:tab w:val="left" w:pos="7513"/>
              </w:tabs>
              <w:ind w:right="95" w:firstLine="1220"/>
              <w:jc w:val="both"/>
              <w:rPr>
                <w:b/>
                <w:sz w:val="20"/>
                <w:szCs w:val="20"/>
              </w:rPr>
            </w:pPr>
            <w:r w:rsidRPr="00DE697C">
              <w:rPr>
                <w:rStyle w:val="rynqvb"/>
                <w:b/>
                <w:bCs/>
                <w:sz w:val="20"/>
                <w:szCs w:val="20"/>
                <w:lang w:val="en"/>
              </w:rPr>
              <w:t>Percentage</w:t>
            </w:r>
            <w:r w:rsidR="0091644C" w:rsidRPr="00DE697C">
              <w:rPr>
                <w:b/>
                <w:sz w:val="20"/>
                <w:szCs w:val="20"/>
              </w:rPr>
              <w:t xml:space="preserve"> (%)</w:t>
            </w:r>
          </w:p>
        </w:tc>
      </w:tr>
      <w:tr w:rsidR="00DE697C" w:rsidRPr="00DE697C" w14:paraId="6DCA08C9" w14:textId="77777777" w:rsidTr="00DE697C">
        <w:trPr>
          <w:trHeight w:val="368"/>
        </w:trPr>
        <w:tc>
          <w:tcPr>
            <w:tcW w:w="2883" w:type="dxa"/>
            <w:tcBorders>
              <w:top w:val="single" w:sz="4" w:space="0" w:color="000000"/>
            </w:tcBorders>
          </w:tcPr>
          <w:p w14:paraId="53D9D884" w14:textId="77777777" w:rsidR="0091644C" w:rsidRPr="00DE697C" w:rsidRDefault="0091644C" w:rsidP="00DE697C">
            <w:pPr>
              <w:pStyle w:val="TableParagraph"/>
              <w:tabs>
                <w:tab w:val="left" w:pos="7513"/>
              </w:tabs>
              <w:ind w:right="95" w:firstLine="142"/>
              <w:jc w:val="both"/>
              <w:rPr>
                <w:sz w:val="20"/>
                <w:szCs w:val="20"/>
              </w:rPr>
            </w:pPr>
            <w:r w:rsidRPr="00DE697C">
              <w:rPr>
                <w:sz w:val="20"/>
                <w:szCs w:val="20"/>
              </w:rPr>
              <w:t xml:space="preserve">Tabanan </w:t>
            </w:r>
          </w:p>
          <w:p w14:paraId="675432D1" w14:textId="77777777" w:rsidR="0091644C" w:rsidRPr="00DE697C" w:rsidRDefault="0091644C" w:rsidP="00DE697C">
            <w:pPr>
              <w:pStyle w:val="TableParagraph"/>
              <w:tabs>
                <w:tab w:val="left" w:pos="7513"/>
              </w:tabs>
              <w:ind w:right="95" w:firstLine="142"/>
              <w:jc w:val="both"/>
              <w:rPr>
                <w:sz w:val="20"/>
                <w:szCs w:val="20"/>
              </w:rPr>
            </w:pPr>
            <w:r w:rsidRPr="00DE697C">
              <w:rPr>
                <w:sz w:val="20"/>
                <w:szCs w:val="20"/>
              </w:rPr>
              <w:t xml:space="preserve">Gianyar </w:t>
            </w:r>
          </w:p>
          <w:p w14:paraId="242E673A" w14:textId="77777777" w:rsidR="0091644C" w:rsidRPr="00DE697C" w:rsidRDefault="0091644C" w:rsidP="00DE697C">
            <w:pPr>
              <w:pStyle w:val="TableParagraph"/>
              <w:tabs>
                <w:tab w:val="left" w:pos="7513"/>
              </w:tabs>
              <w:ind w:right="95" w:firstLine="142"/>
              <w:jc w:val="both"/>
              <w:rPr>
                <w:sz w:val="20"/>
                <w:szCs w:val="20"/>
              </w:rPr>
            </w:pPr>
            <w:r w:rsidRPr="00DE697C">
              <w:rPr>
                <w:sz w:val="20"/>
                <w:szCs w:val="20"/>
              </w:rPr>
              <w:t>Buleleng</w:t>
            </w:r>
          </w:p>
          <w:p w14:paraId="233AD3BE" w14:textId="77777777" w:rsidR="0091644C" w:rsidRPr="00DE697C" w:rsidRDefault="0091644C" w:rsidP="00DE697C">
            <w:pPr>
              <w:pStyle w:val="TableParagraph"/>
              <w:tabs>
                <w:tab w:val="left" w:pos="7513"/>
              </w:tabs>
              <w:ind w:right="95" w:firstLine="142"/>
              <w:jc w:val="both"/>
              <w:rPr>
                <w:sz w:val="20"/>
                <w:szCs w:val="20"/>
              </w:rPr>
            </w:pPr>
            <w:r w:rsidRPr="00DE697C">
              <w:rPr>
                <w:sz w:val="20"/>
                <w:szCs w:val="20"/>
              </w:rPr>
              <w:t>Denpasar</w:t>
            </w:r>
          </w:p>
          <w:p w14:paraId="22D9F84B" w14:textId="77777777" w:rsidR="0091644C" w:rsidRPr="00DE697C" w:rsidRDefault="0091644C" w:rsidP="00DE697C">
            <w:pPr>
              <w:pStyle w:val="TableParagraph"/>
              <w:tabs>
                <w:tab w:val="left" w:pos="7513"/>
              </w:tabs>
              <w:ind w:right="95" w:firstLine="142"/>
              <w:jc w:val="both"/>
              <w:rPr>
                <w:sz w:val="20"/>
                <w:szCs w:val="20"/>
              </w:rPr>
            </w:pPr>
            <w:r w:rsidRPr="00DE697C">
              <w:rPr>
                <w:sz w:val="20"/>
                <w:szCs w:val="20"/>
              </w:rPr>
              <w:t>Badung</w:t>
            </w:r>
          </w:p>
          <w:p w14:paraId="1F1707AD" w14:textId="77777777" w:rsidR="0091644C" w:rsidRPr="00DE697C" w:rsidRDefault="0091644C" w:rsidP="00DE697C">
            <w:pPr>
              <w:pStyle w:val="TableParagraph"/>
              <w:tabs>
                <w:tab w:val="left" w:pos="7513"/>
              </w:tabs>
              <w:ind w:right="95" w:firstLine="142"/>
              <w:jc w:val="both"/>
              <w:rPr>
                <w:sz w:val="20"/>
                <w:szCs w:val="20"/>
              </w:rPr>
            </w:pPr>
            <w:r w:rsidRPr="00DE697C">
              <w:rPr>
                <w:sz w:val="20"/>
                <w:szCs w:val="20"/>
              </w:rPr>
              <w:t>Jembrana</w:t>
            </w:r>
          </w:p>
          <w:p w14:paraId="518E34B0" w14:textId="77777777" w:rsidR="0091644C" w:rsidRPr="00DE697C" w:rsidRDefault="0091644C" w:rsidP="00DE697C">
            <w:pPr>
              <w:pStyle w:val="TableParagraph"/>
              <w:tabs>
                <w:tab w:val="left" w:pos="7513"/>
              </w:tabs>
              <w:ind w:right="95" w:firstLine="142"/>
              <w:jc w:val="both"/>
              <w:rPr>
                <w:sz w:val="20"/>
                <w:szCs w:val="20"/>
              </w:rPr>
            </w:pPr>
            <w:r w:rsidRPr="00DE697C">
              <w:rPr>
                <w:sz w:val="20"/>
                <w:szCs w:val="20"/>
              </w:rPr>
              <w:t>Karangasem</w:t>
            </w:r>
          </w:p>
          <w:p w14:paraId="578830A8" w14:textId="7DE151C6" w:rsidR="0091644C" w:rsidRPr="00DE697C" w:rsidRDefault="00FD2F1F" w:rsidP="00DE697C">
            <w:pPr>
              <w:pStyle w:val="TableParagraph"/>
              <w:tabs>
                <w:tab w:val="left" w:pos="7513"/>
              </w:tabs>
              <w:ind w:right="95" w:firstLine="142"/>
              <w:jc w:val="both"/>
              <w:rPr>
                <w:b/>
                <w:sz w:val="20"/>
                <w:szCs w:val="20"/>
              </w:rPr>
            </w:pPr>
            <w:r w:rsidRPr="00DE697C">
              <w:rPr>
                <w:sz w:val="20"/>
                <w:szCs w:val="20"/>
              </w:rPr>
              <w:t>Outside Bali</w:t>
            </w:r>
          </w:p>
        </w:tc>
        <w:tc>
          <w:tcPr>
            <w:tcW w:w="2925" w:type="dxa"/>
            <w:tcBorders>
              <w:top w:val="single" w:sz="4" w:space="0" w:color="000000"/>
            </w:tcBorders>
          </w:tcPr>
          <w:p w14:paraId="1EBF8C61" w14:textId="77777777" w:rsidR="0091644C" w:rsidRPr="00DE697C" w:rsidRDefault="0091644C" w:rsidP="00DE697C">
            <w:pPr>
              <w:pStyle w:val="TableParagraph"/>
              <w:tabs>
                <w:tab w:val="left" w:pos="7513"/>
              </w:tabs>
              <w:ind w:right="95" w:firstLine="743"/>
              <w:jc w:val="both"/>
              <w:rPr>
                <w:bCs/>
                <w:sz w:val="20"/>
                <w:szCs w:val="20"/>
              </w:rPr>
            </w:pPr>
            <w:r w:rsidRPr="00DE697C">
              <w:rPr>
                <w:bCs/>
                <w:sz w:val="20"/>
                <w:szCs w:val="20"/>
              </w:rPr>
              <w:t>6</w:t>
            </w:r>
          </w:p>
          <w:p w14:paraId="35791591" w14:textId="77777777" w:rsidR="0091644C" w:rsidRPr="00DE697C" w:rsidRDefault="0091644C" w:rsidP="00DE697C">
            <w:pPr>
              <w:pStyle w:val="TableParagraph"/>
              <w:tabs>
                <w:tab w:val="left" w:pos="7513"/>
              </w:tabs>
              <w:ind w:right="95" w:firstLine="743"/>
              <w:jc w:val="both"/>
              <w:rPr>
                <w:bCs/>
                <w:sz w:val="20"/>
                <w:szCs w:val="20"/>
              </w:rPr>
            </w:pPr>
            <w:r w:rsidRPr="00DE697C">
              <w:rPr>
                <w:bCs/>
                <w:sz w:val="20"/>
                <w:szCs w:val="20"/>
              </w:rPr>
              <w:t>4</w:t>
            </w:r>
          </w:p>
          <w:p w14:paraId="013D3B97" w14:textId="77777777" w:rsidR="0091644C" w:rsidRPr="00DE697C" w:rsidRDefault="0091644C" w:rsidP="00DE697C">
            <w:pPr>
              <w:pStyle w:val="TableParagraph"/>
              <w:tabs>
                <w:tab w:val="left" w:pos="7513"/>
              </w:tabs>
              <w:ind w:right="95" w:firstLine="743"/>
              <w:jc w:val="both"/>
              <w:rPr>
                <w:bCs/>
                <w:sz w:val="20"/>
                <w:szCs w:val="20"/>
              </w:rPr>
            </w:pPr>
            <w:r w:rsidRPr="00DE697C">
              <w:rPr>
                <w:bCs/>
                <w:sz w:val="20"/>
                <w:szCs w:val="20"/>
              </w:rPr>
              <w:t>2</w:t>
            </w:r>
          </w:p>
          <w:p w14:paraId="2523B027" w14:textId="77777777" w:rsidR="0091644C" w:rsidRPr="00DE697C" w:rsidRDefault="0091644C" w:rsidP="00DE697C">
            <w:pPr>
              <w:pStyle w:val="TableParagraph"/>
              <w:tabs>
                <w:tab w:val="left" w:pos="7513"/>
              </w:tabs>
              <w:ind w:right="95" w:firstLine="743"/>
              <w:jc w:val="both"/>
              <w:rPr>
                <w:bCs/>
                <w:sz w:val="20"/>
                <w:szCs w:val="20"/>
              </w:rPr>
            </w:pPr>
            <w:r w:rsidRPr="00DE697C">
              <w:rPr>
                <w:bCs/>
                <w:sz w:val="20"/>
                <w:szCs w:val="20"/>
              </w:rPr>
              <w:t>2</w:t>
            </w:r>
          </w:p>
          <w:p w14:paraId="652986A8" w14:textId="77777777" w:rsidR="0091644C" w:rsidRPr="00DE697C" w:rsidRDefault="0091644C" w:rsidP="00DE697C">
            <w:pPr>
              <w:pStyle w:val="TableParagraph"/>
              <w:tabs>
                <w:tab w:val="left" w:pos="7513"/>
              </w:tabs>
              <w:ind w:right="95" w:firstLine="743"/>
              <w:jc w:val="both"/>
              <w:rPr>
                <w:bCs/>
                <w:sz w:val="20"/>
                <w:szCs w:val="20"/>
              </w:rPr>
            </w:pPr>
            <w:r w:rsidRPr="00DE697C">
              <w:rPr>
                <w:bCs/>
                <w:sz w:val="20"/>
                <w:szCs w:val="20"/>
              </w:rPr>
              <w:t>1</w:t>
            </w:r>
          </w:p>
          <w:p w14:paraId="051FD31C" w14:textId="77777777" w:rsidR="0091644C" w:rsidRPr="00DE697C" w:rsidRDefault="0091644C" w:rsidP="00DE697C">
            <w:pPr>
              <w:pStyle w:val="TableParagraph"/>
              <w:tabs>
                <w:tab w:val="left" w:pos="7513"/>
              </w:tabs>
              <w:ind w:right="95" w:firstLine="743"/>
              <w:jc w:val="both"/>
              <w:rPr>
                <w:bCs/>
                <w:sz w:val="20"/>
                <w:szCs w:val="20"/>
              </w:rPr>
            </w:pPr>
            <w:r w:rsidRPr="00DE697C">
              <w:rPr>
                <w:bCs/>
                <w:sz w:val="20"/>
                <w:szCs w:val="20"/>
              </w:rPr>
              <w:t>1</w:t>
            </w:r>
          </w:p>
          <w:p w14:paraId="30F27C8A" w14:textId="77777777" w:rsidR="0091644C" w:rsidRPr="00DE697C" w:rsidRDefault="0091644C" w:rsidP="00DE697C">
            <w:pPr>
              <w:pStyle w:val="TableParagraph"/>
              <w:tabs>
                <w:tab w:val="left" w:pos="7513"/>
              </w:tabs>
              <w:ind w:right="95" w:firstLine="743"/>
              <w:jc w:val="both"/>
              <w:rPr>
                <w:bCs/>
                <w:sz w:val="20"/>
                <w:szCs w:val="20"/>
              </w:rPr>
            </w:pPr>
            <w:r w:rsidRPr="00DE697C">
              <w:rPr>
                <w:bCs/>
                <w:sz w:val="20"/>
                <w:szCs w:val="20"/>
              </w:rPr>
              <w:t>1</w:t>
            </w:r>
          </w:p>
          <w:p w14:paraId="61A089C8" w14:textId="77777777" w:rsidR="0091644C" w:rsidRPr="00DE697C" w:rsidRDefault="0091644C" w:rsidP="00DE697C">
            <w:pPr>
              <w:pStyle w:val="TableParagraph"/>
              <w:tabs>
                <w:tab w:val="left" w:pos="7513"/>
              </w:tabs>
              <w:ind w:right="95" w:firstLine="743"/>
              <w:jc w:val="both"/>
              <w:rPr>
                <w:bCs/>
                <w:sz w:val="20"/>
                <w:szCs w:val="20"/>
              </w:rPr>
            </w:pPr>
            <w:r w:rsidRPr="00DE697C">
              <w:rPr>
                <w:bCs/>
                <w:sz w:val="20"/>
                <w:szCs w:val="20"/>
              </w:rPr>
              <w:t>2</w:t>
            </w:r>
          </w:p>
        </w:tc>
        <w:tc>
          <w:tcPr>
            <w:tcW w:w="3264" w:type="dxa"/>
            <w:tcBorders>
              <w:top w:val="single" w:sz="4" w:space="0" w:color="000000"/>
            </w:tcBorders>
          </w:tcPr>
          <w:p w14:paraId="66D29AB7" w14:textId="12304B72" w:rsidR="0091644C" w:rsidRPr="00DE697C" w:rsidRDefault="0091644C" w:rsidP="00DE697C">
            <w:pPr>
              <w:pStyle w:val="TableParagraph"/>
              <w:tabs>
                <w:tab w:val="left" w:pos="7513"/>
              </w:tabs>
              <w:ind w:right="95" w:firstLine="1493"/>
              <w:jc w:val="both"/>
              <w:rPr>
                <w:bCs/>
                <w:sz w:val="20"/>
                <w:szCs w:val="20"/>
              </w:rPr>
            </w:pPr>
            <w:r w:rsidRPr="00DE697C">
              <w:rPr>
                <w:bCs/>
                <w:sz w:val="20"/>
                <w:szCs w:val="20"/>
              </w:rPr>
              <w:t>31</w:t>
            </w:r>
            <w:r w:rsidR="00D15337" w:rsidRPr="00DE697C">
              <w:rPr>
                <w:bCs/>
                <w:sz w:val="20"/>
                <w:szCs w:val="20"/>
              </w:rPr>
              <w:t>.</w:t>
            </w:r>
            <w:r w:rsidRPr="00DE697C">
              <w:rPr>
                <w:bCs/>
                <w:sz w:val="20"/>
                <w:szCs w:val="20"/>
              </w:rPr>
              <w:t>5</w:t>
            </w:r>
          </w:p>
          <w:p w14:paraId="38864F40" w14:textId="46229A2E" w:rsidR="0091644C" w:rsidRPr="00DE697C" w:rsidRDefault="0091644C" w:rsidP="00DE697C">
            <w:pPr>
              <w:pStyle w:val="TableParagraph"/>
              <w:tabs>
                <w:tab w:val="left" w:pos="7513"/>
              </w:tabs>
              <w:ind w:right="95" w:firstLine="1493"/>
              <w:jc w:val="both"/>
              <w:rPr>
                <w:bCs/>
                <w:sz w:val="20"/>
                <w:szCs w:val="20"/>
              </w:rPr>
            </w:pPr>
            <w:r w:rsidRPr="00DE697C">
              <w:rPr>
                <w:bCs/>
                <w:sz w:val="20"/>
                <w:szCs w:val="20"/>
              </w:rPr>
              <w:t>21</w:t>
            </w:r>
            <w:r w:rsidR="00D15337" w:rsidRPr="00DE697C">
              <w:rPr>
                <w:bCs/>
                <w:sz w:val="20"/>
                <w:szCs w:val="20"/>
              </w:rPr>
              <w:t>.</w:t>
            </w:r>
            <w:r w:rsidRPr="00DE697C">
              <w:rPr>
                <w:bCs/>
                <w:sz w:val="20"/>
                <w:szCs w:val="20"/>
              </w:rPr>
              <w:t>1</w:t>
            </w:r>
          </w:p>
          <w:p w14:paraId="139B0BE4" w14:textId="61EEC7F0" w:rsidR="0091644C" w:rsidRPr="00DE697C" w:rsidRDefault="0091644C" w:rsidP="00DE697C">
            <w:pPr>
              <w:pStyle w:val="TableParagraph"/>
              <w:tabs>
                <w:tab w:val="left" w:pos="7513"/>
              </w:tabs>
              <w:ind w:right="95" w:firstLine="1493"/>
              <w:jc w:val="both"/>
              <w:rPr>
                <w:bCs/>
                <w:sz w:val="20"/>
                <w:szCs w:val="20"/>
              </w:rPr>
            </w:pPr>
            <w:r w:rsidRPr="00DE697C">
              <w:rPr>
                <w:bCs/>
                <w:sz w:val="20"/>
                <w:szCs w:val="20"/>
              </w:rPr>
              <w:t>10</w:t>
            </w:r>
            <w:r w:rsidR="00D15337" w:rsidRPr="00DE697C">
              <w:rPr>
                <w:bCs/>
                <w:sz w:val="20"/>
                <w:szCs w:val="20"/>
              </w:rPr>
              <w:t>.</w:t>
            </w:r>
            <w:r w:rsidRPr="00DE697C">
              <w:rPr>
                <w:bCs/>
                <w:sz w:val="20"/>
                <w:szCs w:val="20"/>
              </w:rPr>
              <w:t>5</w:t>
            </w:r>
          </w:p>
          <w:p w14:paraId="3E23E1CD" w14:textId="623A9E72" w:rsidR="0091644C" w:rsidRPr="00DE697C" w:rsidRDefault="0091644C" w:rsidP="00DE697C">
            <w:pPr>
              <w:pStyle w:val="TableParagraph"/>
              <w:tabs>
                <w:tab w:val="left" w:pos="7513"/>
              </w:tabs>
              <w:ind w:right="95" w:firstLine="1493"/>
              <w:jc w:val="both"/>
              <w:rPr>
                <w:bCs/>
                <w:sz w:val="20"/>
                <w:szCs w:val="20"/>
              </w:rPr>
            </w:pPr>
            <w:r w:rsidRPr="00DE697C">
              <w:rPr>
                <w:bCs/>
                <w:sz w:val="20"/>
                <w:szCs w:val="20"/>
              </w:rPr>
              <w:t>10</w:t>
            </w:r>
            <w:r w:rsidR="00D15337" w:rsidRPr="00DE697C">
              <w:rPr>
                <w:bCs/>
                <w:sz w:val="20"/>
                <w:szCs w:val="20"/>
              </w:rPr>
              <w:t>.</w:t>
            </w:r>
            <w:r w:rsidRPr="00DE697C">
              <w:rPr>
                <w:bCs/>
                <w:sz w:val="20"/>
                <w:szCs w:val="20"/>
              </w:rPr>
              <w:t>5</w:t>
            </w:r>
          </w:p>
          <w:p w14:paraId="019A4341" w14:textId="3055C231" w:rsidR="0091644C" w:rsidRPr="00DE697C" w:rsidRDefault="0091644C" w:rsidP="00DE697C">
            <w:pPr>
              <w:pStyle w:val="TableParagraph"/>
              <w:tabs>
                <w:tab w:val="left" w:pos="7513"/>
              </w:tabs>
              <w:ind w:right="95" w:firstLine="1493"/>
              <w:jc w:val="both"/>
              <w:rPr>
                <w:bCs/>
                <w:sz w:val="20"/>
                <w:szCs w:val="20"/>
              </w:rPr>
            </w:pPr>
            <w:r w:rsidRPr="00DE697C">
              <w:rPr>
                <w:bCs/>
                <w:sz w:val="20"/>
                <w:szCs w:val="20"/>
              </w:rPr>
              <w:t>5</w:t>
            </w:r>
            <w:r w:rsidR="00D15337" w:rsidRPr="00DE697C">
              <w:rPr>
                <w:bCs/>
                <w:sz w:val="20"/>
                <w:szCs w:val="20"/>
              </w:rPr>
              <w:t>.</w:t>
            </w:r>
            <w:r w:rsidRPr="00DE697C">
              <w:rPr>
                <w:bCs/>
                <w:sz w:val="20"/>
                <w:szCs w:val="20"/>
              </w:rPr>
              <w:t>3</w:t>
            </w:r>
          </w:p>
          <w:p w14:paraId="1612B68F" w14:textId="6E2EB3D7" w:rsidR="0091644C" w:rsidRPr="00DE697C" w:rsidRDefault="0091644C" w:rsidP="00DE697C">
            <w:pPr>
              <w:pStyle w:val="TableParagraph"/>
              <w:tabs>
                <w:tab w:val="left" w:pos="7513"/>
              </w:tabs>
              <w:ind w:right="95" w:firstLine="1493"/>
              <w:jc w:val="both"/>
              <w:rPr>
                <w:bCs/>
                <w:sz w:val="20"/>
                <w:szCs w:val="20"/>
              </w:rPr>
            </w:pPr>
            <w:r w:rsidRPr="00DE697C">
              <w:rPr>
                <w:bCs/>
                <w:sz w:val="20"/>
                <w:szCs w:val="20"/>
              </w:rPr>
              <w:t>5</w:t>
            </w:r>
            <w:r w:rsidR="00D15337" w:rsidRPr="00DE697C">
              <w:rPr>
                <w:bCs/>
                <w:sz w:val="20"/>
                <w:szCs w:val="20"/>
              </w:rPr>
              <w:t>.</w:t>
            </w:r>
            <w:r w:rsidRPr="00DE697C">
              <w:rPr>
                <w:bCs/>
                <w:sz w:val="20"/>
                <w:szCs w:val="20"/>
              </w:rPr>
              <w:t>3</w:t>
            </w:r>
          </w:p>
          <w:p w14:paraId="66F24A4A" w14:textId="37E46B43" w:rsidR="0091644C" w:rsidRPr="00DE697C" w:rsidRDefault="0091644C" w:rsidP="00DE697C">
            <w:pPr>
              <w:pStyle w:val="TableParagraph"/>
              <w:tabs>
                <w:tab w:val="left" w:pos="7513"/>
              </w:tabs>
              <w:ind w:right="95" w:firstLine="1493"/>
              <w:jc w:val="both"/>
              <w:rPr>
                <w:bCs/>
                <w:sz w:val="20"/>
                <w:szCs w:val="20"/>
              </w:rPr>
            </w:pPr>
            <w:r w:rsidRPr="00DE697C">
              <w:rPr>
                <w:bCs/>
                <w:sz w:val="20"/>
                <w:szCs w:val="20"/>
              </w:rPr>
              <w:t>5</w:t>
            </w:r>
            <w:r w:rsidR="00D15337" w:rsidRPr="00DE697C">
              <w:rPr>
                <w:bCs/>
                <w:sz w:val="20"/>
                <w:szCs w:val="20"/>
              </w:rPr>
              <w:t>.</w:t>
            </w:r>
            <w:r w:rsidRPr="00DE697C">
              <w:rPr>
                <w:bCs/>
                <w:sz w:val="20"/>
                <w:szCs w:val="20"/>
              </w:rPr>
              <w:t>3</w:t>
            </w:r>
          </w:p>
          <w:p w14:paraId="7818E304" w14:textId="30408828" w:rsidR="0091644C" w:rsidRPr="00DE697C" w:rsidRDefault="0091644C" w:rsidP="00DE697C">
            <w:pPr>
              <w:pStyle w:val="TableParagraph"/>
              <w:tabs>
                <w:tab w:val="left" w:pos="7513"/>
              </w:tabs>
              <w:ind w:right="95" w:firstLine="1493"/>
              <w:jc w:val="both"/>
              <w:rPr>
                <w:bCs/>
                <w:sz w:val="20"/>
                <w:szCs w:val="20"/>
              </w:rPr>
            </w:pPr>
            <w:r w:rsidRPr="00DE697C">
              <w:rPr>
                <w:bCs/>
                <w:sz w:val="20"/>
                <w:szCs w:val="20"/>
              </w:rPr>
              <w:t>10</w:t>
            </w:r>
            <w:r w:rsidR="00D15337" w:rsidRPr="00DE697C">
              <w:rPr>
                <w:bCs/>
                <w:sz w:val="20"/>
                <w:szCs w:val="20"/>
              </w:rPr>
              <w:t>.</w:t>
            </w:r>
            <w:r w:rsidRPr="00DE697C">
              <w:rPr>
                <w:bCs/>
                <w:sz w:val="20"/>
                <w:szCs w:val="20"/>
              </w:rPr>
              <w:t>5</w:t>
            </w:r>
          </w:p>
        </w:tc>
      </w:tr>
      <w:tr w:rsidR="00DE697C" w:rsidRPr="00DE697C" w14:paraId="6E5073DE" w14:textId="77777777" w:rsidTr="00DE697C">
        <w:trPr>
          <w:trHeight w:val="70"/>
        </w:trPr>
        <w:tc>
          <w:tcPr>
            <w:tcW w:w="2883" w:type="dxa"/>
            <w:tcBorders>
              <w:top w:val="single" w:sz="4" w:space="0" w:color="000000"/>
              <w:bottom w:val="single" w:sz="4" w:space="0" w:color="000000"/>
            </w:tcBorders>
          </w:tcPr>
          <w:p w14:paraId="7ABFFC47" w14:textId="7F1373DD" w:rsidR="0091644C" w:rsidRPr="00DE697C" w:rsidRDefault="00FD2F1F" w:rsidP="00DE697C">
            <w:pPr>
              <w:pStyle w:val="TableParagraph"/>
              <w:tabs>
                <w:tab w:val="left" w:pos="7513"/>
              </w:tabs>
              <w:ind w:right="95" w:firstLine="142"/>
              <w:jc w:val="both"/>
              <w:rPr>
                <w:b/>
                <w:sz w:val="20"/>
                <w:szCs w:val="20"/>
              </w:rPr>
            </w:pPr>
            <w:r w:rsidRPr="00DE697C">
              <w:rPr>
                <w:b/>
                <w:sz w:val="20"/>
                <w:szCs w:val="20"/>
              </w:rPr>
              <w:t>Total</w:t>
            </w:r>
          </w:p>
        </w:tc>
        <w:tc>
          <w:tcPr>
            <w:tcW w:w="2925" w:type="dxa"/>
            <w:tcBorders>
              <w:top w:val="single" w:sz="4" w:space="0" w:color="000000"/>
              <w:bottom w:val="single" w:sz="4" w:space="0" w:color="000000"/>
            </w:tcBorders>
          </w:tcPr>
          <w:p w14:paraId="323E3A56" w14:textId="77777777" w:rsidR="0091644C" w:rsidRPr="00DE697C" w:rsidRDefault="0091644C" w:rsidP="00DE697C">
            <w:pPr>
              <w:pStyle w:val="TableParagraph"/>
              <w:tabs>
                <w:tab w:val="left" w:pos="7513"/>
              </w:tabs>
              <w:ind w:right="95" w:firstLine="743"/>
              <w:jc w:val="both"/>
              <w:rPr>
                <w:b/>
                <w:bCs/>
                <w:sz w:val="20"/>
                <w:szCs w:val="20"/>
              </w:rPr>
            </w:pPr>
            <w:r w:rsidRPr="00DE697C">
              <w:rPr>
                <w:b/>
                <w:bCs/>
                <w:sz w:val="20"/>
                <w:szCs w:val="20"/>
              </w:rPr>
              <w:t>19</w:t>
            </w:r>
          </w:p>
        </w:tc>
        <w:tc>
          <w:tcPr>
            <w:tcW w:w="3264" w:type="dxa"/>
            <w:tcBorders>
              <w:top w:val="single" w:sz="4" w:space="0" w:color="000000"/>
              <w:bottom w:val="single" w:sz="4" w:space="0" w:color="000000"/>
            </w:tcBorders>
          </w:tcPr>
          <w:p w14:paraId="1850C98A" w14:textId="77777777" w:rsidR="0091644C" w:rsidRPr="00DE697C" w:rsidRDefault="0091644C" w:rsidP="00DE697C">
            <w:pPr>
              <w:pStyle w:val="TableParagraph"/>
              <w:tabs>
                <w:tab w:val="left" w:pos="7513"/>
              </w:tabs>
              <w:ind w:right="95" w:firstLine="1493"/>
              <w:jc w:val="both"/>
              <w:rPr>
                <w:b/>
                <w:bCs/>
                <w:sz w:val="20"/>
                <w:szCs w:val="20"/>
              </w:rPr>
            </w:pPr>
            <w:r w:rsidRPr="00DE697C">
              <w:rPr>
                <w:b/>
                <w:bCs/>
                <w:sz w:val="20"/>
                <w:szCs w:val="20"/>
              </w:rPr>
              <w:t>100</w:t>
            </w:r>
          </w:p>
        </w:tc>
      </w:tr>
    </w:tbl>
    <w:p w14:paraId="617597E4" w14:textId="77777777" w:rsidR="00DE697C" w:rsidRDefault="009B25EF" w:rsidP="00DE697C">
      <w:pPr>
        <w:tabs>
          <w:tab w:val="left" w:pos="717"/>
          <w:tab w:val="left" w:pos="7513"/>
        </w:tabs>
        <w:ind w:right="95"/>
        <w:jc w:val="both"/>
        <w:rPr>
          <w:sz w:val="24"/>
          <w:szCs w:val="24"/>
        </w:rPr>
      </w:pPr>
      <w:r w:rsidRPr="00DE697C">
        <w:rPr>
          <w:sz w:val="24"/>
          <w:szCs w:val="24"/>
        </w:rPr>
        <w:tab/>
      </w:r>
    </w:p>
    <w:p w14:paraId="62783E9D" w14:textId="3DA714E6" w:rsidR="00B97535" w:rsidRDefault="00B97535" w:rsidP="00DE697C">
      <w:pPr>
        <w:tabs>
          <w:tab w:val="left" w:pos="717"/>
          <w:tab w:val="left" w:pos="7513"/>
        </w:tabs>
        <w:ind w:right="95" w:firstLine="426"/>
        <w:jc w:val="both"/>
        <w:rPr>
          <w:sz w:val="24"/>
          <w:szCs w:val="24"/>
        </w:rPr>
      </w:pPr>
      <w:r w:rsidRPr="00DE697C">
        <w:rPr>
          <w:sz w:val="24"/>
          <w:szCs w:val="24"/>
        </w:rPr>
        <w:t>Based on the research results</w:t>
      </w:r>
      <w:r w:rsidR="00D15337" w:rsidRPr="00DE697C">
        <w:rPr>
          <w:sz w:val="24"/>
          <w:szCs w:val="24"/>
        </w:rPr>
        <w:t>.</w:t>
      </w:r>
      <w:r w:rsidRPr="00DE697C">
        <w:rPr>
          <w:sz w:val="24"/>
          <w:szCs w:val="24"/>
        </w:rPr>
        <w:t xml:space="preserve"> the most common initial visual acuity was in the range of &lt;6/12 to ≥6/60</w:t>
      </w:r>
      <w:r w:rsidR="00D15337" w:rsidRPr="00DE697C">
        <w:rPr>
          <w:sz w:val="24"/>
          <w:szCs w:val="24"/>
        </w:rPr>
        <w:t>.</w:t>
      </w:r>
      <w:r w:rsidRPr="00DE697C">
        <w:rPr>
          <w:sz w:val="24"/>
          <w:szCs w:val="24"/>
        </w:rPr>
        <w:t xml:space="preserve"> with 9 cases</w:t>
      </w:r>
      <w:r w:rsidR="00D15337" w:rsidRPr="00DE697C">
        <w:rPr>
          <w:sz w:val="24"/>
          <w:szCs w:val="24"/>
        </w:rPr>
        <w:t>.</w:t>
      </w:r>
      <w:r w:rsidRPr="00DE697C">
        <w:rPr>
          <w:sz w:val="24"/>
          <w:szCs w:val="24"/>
        </w:rPr>
        <w:t xml:space="preserve"> representing 47.4%. Initial visual acuity of 1/300 was found in 4 cases (21.1%)</w:t>
      </w:r>
      <w:r w:rsidR="00D15337" w:rsidRPr="00DE697C">
        <w:rPr>
          <w:sz w:val="24"/>
          <w:szCs w:val="24"/>
        </w:rPr>
        <w:t>.</w:t>
      </w:r>
      <w:r w:rsidRPr="00DE697C">
        <w:rPr>
          <w:sz w:val="24"/>
          <w:szCs w:val="24"/>
        </w:rPr>
        <w:t xml:space="preserve"> while 6/60 to 1/60 and ≥6/12 each accounted for 2 cases (10.5%). This was followed by No Light Perception (NLP) and Light Perception (LP)</w:t>
      </w:r>
      <w:r w:rsidR="00D15337" w:rsidRPr="00DE697C">
        <w:rPr>
          <w:sz w:val="24"/>
          <w:szCs w:val="24"/>
        </w:rPr>
        <w:t>.</w:t>
      </w:r>
      <w:r w:rsidRPr="00DE697C">
        <w:rPr>
          <w:sz w:val="24"/>
          <w:szCs w:val="24"/>
        </w:rPr>
        <w:t xml:space="preserve"> each with 1 case (5.3%).</w:t>
      </w:r>
      <w:r w:rsidR="00D15337" w:rsidRPr="00DE697C">
        <w:rPr>
          <w:sz w:val="24"/>
          <w:szCs w:val="24"/>
        </w:rPr>
        <w:t xml:space="preserve"> </w:t>
      </w:r>
      <w:r w:rsidRPr="00DE697C">
        <w:rPr>
          <w:sz w:val="24"/>
          <w:szCs w:val="24"/>
        </w:rPr>
        <w:t>Regarding the final visual acuity</w:t>
      </w:r>
      <w:r w:rsidR="00D15337" w:rsidRPr="00DE697C">
        <w:rPr>
          <w:sz w:val="24"/>
          <w:szCs w:val="24"/>
        </w:rPr>
        <w:t>.</w:t>
      </w:r>
      <w:r w:rsidRPr="00DE697C">
        <w:rPr>
          <w:sz w:val="24"/>
          <w:szCs w:val="24"/>
        </w:rPr>
        <w:t xml:space="preserve"> the most common range was ≥6/12</w:t>
      </w:r>
      <w:r w:rsidR="00D15337" w:rsidRPr="00DE697C">
        <w:rPr>
          <w:sz w:val="24"/>
          <w:szCs w:val="24"/>
        </w:rPr>
        <w:t>.</w:t>
      </w:r>
      <w:r w:rsidRPr="00DE697C">
        <w:rPr>
          <w:sz w:val="24"/>
          <w:szCs w:val="24"/>
        </w:rPr>
        <w:t xml:space="preserve"> with 5 cases</w:t>
      </w:r>
      <w:r w:rsidR="00D15337" w:rsidRPr="00DE697C">
        <w:rPr>
          <w:sz w:val="24"/>
          <w:szCs w:val="24"/>
        </w:rPr>
        <w:t>.</w:t>
      </w:r>
      <w:r w:rsidRPr="00DE697C">
        <w:rPr>
          <w:sz w:val="24"/>
          <w:szCs w:val="24"/>
        </w:rPr>
        <w:t xml:space="preserve"> representing 26.3%. This was followed by final visual acuity ranges of 6/60 to 1/60 and &lt;6/12 to ≥6/60</w:t>
      </w:r>
      <w:r w:rsidR="00D15337" w:rsidRPr="00DE697C">
        <w:rPr>
          <w:sz w:val="24"/>
          <w:szCs w:val="24"/>
        </w:rPr>
        <w:t>.</w:t>
      </w:r>
      <w:r w:rsidRPr="00DE697C">
        <w:rPr>
          <w:sz w:val="24"/>
          <w:szCs w:val="24"/>
        </w:rPr>
        <w:t xml:space="preserve"> each with 4 cases (21.1%). Final visual acuity of 1/300 was observed in 3 cases (15.8%). No cases with Light Perception (LP) as the final visual acuity were found. However</w:t>
      </w:r>
      <w:r w:rsidR="00D15337" w:rsidRPr="00DE697C">
        <w:rPr>
          <w:sz w:val="24"/>
          <w:szCs w:val="24"/>
        </w:rPr>
        <w:t>.</w:t>
      </w:r>
      <w:r w:rsidRPr="00DE697C">
        <w:rPr>
          <w:sz w:val="24"/>
          <w:szCs w:val="24"/>
        </w:rPr>
        <w:t xml:space="preserve"> 3 cases (15.8%) were reported with No Light Perception (NLP). The results of the study on the characteristics of traumatic optic neuropathy based on final visual acuity at RSUP Ngoerah Denpasar in 2022–2023 can be seen in the table below.</w:t>
      </w:r>
    </w:p>
    <w:p w14:paraId="4DD989C8" w14:textId="77777777" w:rsidR="00DE697C" w:rsidRPr="00DE697C" w:rsidRDefault="00DE697C" w:rsidP="00DE697C">
      <w:pPr>
        <w:tabs>
          <w:tab w:val="left" w:pos="717"/>
          <w:tab w:val="left" w:pos="7513"/>
        </w:tabs>
        <w:ind w:right="95" w:firstLine="426"/>
        <w:jc w:val="both"/>
        <w:rPr>
          <w:sz w:val="24"/>
          <w:szCs w:val="24"/>
        </w:rPr>
      </w:pPr>
    </w:p>
    <w:p w14:paraId="3A06F2A3" w14:textId="5442D740" w:rsidR="00B97535" w:rsidRPr="00DE697C" w:rsidRDefault="009B25EF" w:rsidP="00DE697C">
      <w:pPr>
        <w:tabs>
          <w:tab w:val="left" w:pos="7513"/>
        </w:tabs>
        <w:ind w:left="1276" w:right="95" w:hanging="1276"/>
        <w:jc w:val="both"/>
        <w:rPr>
          <w:b/>
          <w:bCs/>
        </w:rPr>
      </w:pPr>
      <w:r w:rsidRPr="00DE697C">
        <w:rPr>
          <w:b/>
          <w:bCs/>
        </w:rPr>
        <w:t>Table</w:t>
      </w:r>
      <w:r w:rsidR="00B97535" w:rsidRPr="00DE697C">
        <w:rPr>
          <w:b/>
          <w:bCs/>
        </w:rPr>
        <w:t xml:space="preserve"> 4. </w:t>
      </w:r>
      <w:r w:rsidR="00DE697C">
        <w:rPr>
          <w:b/>
          <w:bCs/>
        </w:rPr>
        <w:tab/>
      </w:r>
      <w:r w:rsidR="00B97535" w:rsidRPr="00DE697C">
        <w:rPr>
          <w:b/>
          <w:bCs/>
        </w:rPr>
        <w:t xml:space="preserve">Characteristics of Traumatic Optic Neuropathy Patients Based on Visual Acuity at RSUP </w:t>
      </w:r>
      <w:r w:rsidR="005A79A8" w:rsidRPr="00DE697C">
        <w:rPr>
          <w:b/>
          <w:bCs/>
        </w:rPr>
        <w:t>Ngoerah</w:t>
      </w:r>
      <w:r w:rsidR="00B97535" w:rsidRPr="00DE697C">
        <w:rPr>
          <w:b/>
          <w:bCs/>
        </w:rPr>
        <w:t xml:space="preserve"> Denpasar in 2022–2023</w:t>
      </w:r>
    </w:p>
    <w:tbl>
      <w:tblPr>
        <w:tblpPr w:leftFromText="180" w:rightFromText="180" w:vertAnchor="text" w:horzAnchor="margin" w:tblpY="29"/>
        <w:tblW w:w="8931" w:type="dxa"/>
        <w:tblLayout w:type="fixed"/>
        <w:tblCellMar>
          <w:left w:w="0" w:type="dxa"/>
          <w:right w:w="0" w:type="dxa"/>
        </w:tblCellMar>
        <w:tblLook w:val="01E0" w:firstRow="1" w:lastRow="1" w:firstColumn="1" w:lastColumn="1" w:noHBand="0" w:noVBand="0"/>
      </w:tblPr>
      <w:tblGrid>
        <w:gridCol w:w="2094"/>
        <w:gridCol w:w="1450"/>
        <w:gridCol w:w="1046"/>
        <w:gridCol w:w="349"/>
        <w:gridCol w:w="1494"/>
        <w:gridCol w:w="1364"/>
        <w:gridCol w:w="1134"/>
      </w:tblGrid>
      <w:tr w:rsidR="00DE697C" w:rsidRPr="00DE697C" w14:paraId="2CCAFB50" w14:textId="77777777" w:rsidTr="00DE697C">
        <w:trPr>
          <w:trHeight w:val="270"/>
        </w:trPr>
        <w:tc>
          <w:tcPr>
            <w:tcW w:w="2094" w:type="dxa"/>
            <w:tcBorders>
              <w:top w:val="single" w:sz="4" w:space="0" w:color="000000"/>
              <w:bottom w:val="single" w:sz="4" w:space="0" w:color="000000"/>
            </w:tcBorders>
          </w:tcPr>
          <w:p w14:paraId="50E0150A" w14:textId="16205375" w:rsidR="00DE697C" w:rsidRPr="00DE697C" w:rsidRDefault="00DE697C" w:rsidP="00DE697C">
            <w:pPr>
              <w:pStyle w:val="TableParagraph"/>
              <w:tabs>
                <w:tab w:val="left" w:pos="7513"/>
              </w:tabs>
              <w:ind w:right="95"/>
              <w:jc w:val="both"/>
              <w:rPr>
                <w:b/>
                <w:spacing w:val="-1"/>
                <w:sz w:val="20"/>
                <w:szCs w:val="20"/>
              </w:rPr>
            </w:pPr>
            <w:r w:rsidRPr="00DE697C">
              <w:rPr>
                <w:b/>
                <w:sz w:val="20"/>
                <w:szCs w:val="20"/>
              </w:rPr>
              <w:t>Visual Acuity</w:t>
            </w:r>
          </w:p>
        </w:tc>
        <w:tc>
          <w:tcPr>
            <w:tcW w:w="1450" w:type="dxa"/>
            <w:tcBorders>
              <w:top w:val="single" w:sz="4" w:space="0" w:color="000000"/>
              <w:bottom w:val="single" w:sz="4" w:space="0" w:color="000000"/>
            </w:tcBorders>
          </w:tcPr>
          <w:p w14:paraId="2A4A8DA6" w14:textId="3426F0F4" w:rsidR="00DE697C" w:rsidRPr="00DE697C" w:rsidRDefault="00DE697C" w:rsidP="00DE697C">
            <w:pPr>
              <w:pStyle w:val="TableParagraph"/>
              <w:tabs>
                <w:tab w:val="left" w:pos="7513"/>
              </w:tabs>
              <w:ind w:right="95"/>
              <w:jc w:val="both"/>
              <w:rPr>
                <w:b/>
                <w:spacing w:val="-1"/>
                <w:sz w:val="20"/>
                <w:szCs w:val="20"/>
              </w:rPr>
            </w:pPr>
            <w:r w:rsidRPr="00DE697C">
              <w:rPr>
                <w:b/>
                <w:sz w:val="20"/>
                <w:szCs w:val="20"/>
              </w:rPr>
              <w:t xml:space="preserve">Initial Visual Acuity </w:t>
            </w:r>
          </w:p>
        </w:tc>
        <w:tc>
          <w:tcPr>
            <w:tcW w:w="1395" w:type="dxa"/>
            <w:gridSpan w:val="2"/>
            <w:tcBorders>
              <w:top w:val="single" w:sz="4" w:space="0" w:color="000000"/>
              <w:bottom w:val="single" w:sz="4" w:space="0" w:color="000000"/>
            </w:tcBorders>
          </w:tcPr>
          <w:p w14:paraId="0928E5A9" w14:textId="77777777" w:rsidR="00DE697C" w:rsidRPr="00DE697C" w:rsidRDefault="00DE697C" w:rsidP="00DE697C">
            <w:pPr>
              <w:pStyle w:val="TableParagraph"/>
              <w:tabs>
                <w:tab w:val="left" w:pos="7513"/>
              </w:tabs>
              <w:ind w:right="95"/>
              <w:jc w:val="both"/>
              <w:rPr>
                <w:b/>
                <w:sz w:val="20"/>
                <w:szCs w:val="20"/>
              </w:rPr>
            </w:pPr>
            <w:r w:rsidRPr="00DE697C">
              <w:rPr>
                <w:rStyle w:val="rynqvb"/>
                <w:b/>
                <w:bCs/>
                <w:sz w:val="20"/>
                <w:szCs w:val="20"/>
                <w:lang w:val="en"/>
              </w:rPr>
              <w:t>Percentage</w:t>
            </w:r>
            <w:r w:rsidRPr="00DE697C">
              <w:rPr>
                <w:b/>
                <w:sz w:val="20"/>
                <w:szCs w:val="20"/>
              </w:rPr>
              <w:t xml:space="preserve"> (%)</w:t>
            </w:r>
          </w:p>
        </w:tc>
        <w:tc>
          <w:tcPr>
            <w:tcW w:w="1494" w:type="dxa"/>
            <w:tcBorders>
              <w:top w:val="single" w:sz="4" w:space="0" w:color="000000"/>
              <w:bottom w:val="single" w:sz="4" w:space="0" w:color="000000"/>
            </w:tcBorders>
          </w:tcPr>
          <w:p w14:paraId="5A96519B" w14:textId="05D9AB6B" w:rsidR="00DE697C" w:rsidRPr="00DE697C" w:rsidRDefault="00DE697C" w:rsidP="00DE697C">
            <w:pPr>
              <w:pStyle w:val="TableParagraph"/>
              <w:tabs>
                <w:tab w:val="left" w:pos="7513"/>
              </w:tabs>
              <w:ind w:right="95"/>
              <w:jc w:val="both"/>
              <w:rPr>
                <w:b/>
                <w:spacing w:val="-1"/>
                <w:sz w:val="20"/>
                <w:szCs w:val="20"/>
              </w:rPr>
            </w:pPr>
            <w:r w:rsidRPr="00DE697C">
              <w:rPr>
                <w:b/>
                <w:sz w:val="20"/>
                <w:szCs w:val="20"/>
              </w:rPr>
              <w:t>Final Visual Acuity</w:t>
            </w:r>
          </w:p>
        </w:tc>
        <w:tc>
          <w:tcPr>
            <w:tcW w:w="2498" w:type="dxa"/>
            <w:gridSpan w:val="2"/>
            <w:tcBorders>
              <w:top w:val="single" w:sz="4" w:space="0" w:color="000000"/>
              <w:bottom w:val="single" w:sz="4" w:space="0" w:color="000000"/>
            </w:tcBorders>
          </w:tcPr>
          <w:p w14:paraId="5A9F4FF3" w14:textId="1F2A1FBB" w:rsidR="00DE697C" w:rsidRPr="00DE697C" w:rsidRDefault="00DE697C" w:rsidP="00DE697C">
            <w:pPr>
              <w:pStyle w:val="TableParagraph"/>
              <w:tabs>
                <w:tab w:val="left" w:pos="7513"/>
              </w:tabs>
              <w:ind w:right="95"/>
              <w:jc w:val="both"/>
              <w:rPr>
                <w:b/>
                <w:sz w:val="20"/>
                <w:szCs w:val="20"/>
              </w:rPr>
            </w:pPr>
            <w:r w:rsidRPr="00DE697C">
              <w:rPr>
                <w:rStyle w:val="rynqvb"/>
                <w:b/>
                <w:bCs/>
                <w:sz w:val="20"/>
                <w:szCs w:val="20"/>
                <w:lang w:val="en"/>
              </w:rPr>
              <w:t>Percentage</w:t>
            </w:r>
            <w:r w:rsidRPr="00DE697C">
              <w:rPr>
                <w:b/>
                <w:sz w:val="20"/>
                <w:szCs w:val="20"/>
              </w:rPr>
              <w:t xml:space="preserve"> (%)</w:t>
            </w:r>
          </w:p>
        </w:tc>
      </w:tr>
      <w:tr w:rsidR="00DE697C" w:rsidRPr="00DE697C" w14:paraId="50F4BEB5" w14:textId="77777777" w:rsidTr="00DE697C">
        <w:trPr>
          <w:gridAfter w:val="1"/>
          <w:wAfter w:w="1134" w:type="dxa"/>
          <w:trHeight w:val="233"/>
        </w:trPr>
        <w:tc>
          <w:tcPr>
            <w:tcW w:w="2094" w:type="dxa"/>
            <w:tcBorders>
              <w:top w:val="single" w:sz="4" w:space="0" w:color="000000"/>
            </w:tcBorders>
          </w:tcPr>
          <w:p w14:paraId="02180455" w14:textId="77777777" w:rsidR="00DE697C" w:rsidRPr="00DE697C" w:rsidRDefault="00DE697C" w:rsidP="00DE697C">
            <w:pPr>
              <w:pStyle w:val="TableParagraph"/>
              <w:tabs>
                <w:tab w:val="left" w:pos="7513"/>
              </w:tabs>
              <w:ind w:right="95"/>
              <w:jc w:val="both"/>
              <w:rPr>
                <w:sz w:val="20"/>
                <w:szCs w:val="20"/>
              </w:rPr>
            </w:pPr>
            <w:r w:rsidRPr="00DE697C">
              <w:rPr>
                <w:sz w:val="20"/>
                <w:szCs w:val="20"/>
              </w:rPr>
              <w:t>NLP</w:t>
            </w:r>
          </w:p>
        </w:tc>
        <w:tc>
          <w:tcPr>
            <w:tcW w:w="1450" w:type="dxa"/>
            <w:tcBorders>
              <w:top w:val="single" w:sz="4" w:space="0" w:color="000000"/>
            </w:tcBorders>
          </w:tcPr>
          <w:p w14:paraId="6E6AE34E" w14:textId="7576E6B9" w:rsidR="00DE697C" w:rsidRPr="00DE697C" w:rsidRDefault="00DE697C" w:rsidP="00DE697C">
            <w:pPr>
              <w:pStyle w:val="TableParagraph"/>
              <w:tabs>
                <w:tab w:val="left" w:pos="7513"/>
              </w:tabs>
              <w:ind w:right="95"/>
              <w:jc w:val="both"/>
              <w:rPr>
                <w:bCs/>
                <w:sz w:val="20"/>
                <w:szCs w:val="20"/>
              </w:rPr>
            </w:pPr>
            <w:r w:rsidRPr="00DE697C">
              <w:rPr>
                <w:bCs/>
                <w:sz w:val="20"/>
                <w:szCs w:val="20"/>
              </w:rPr>
              <w:t>1</w:t>
            </w:r>
          </w:p>
        </w:tc>
        <w:tc>
          <w:tcPr>
            <w:tcW w:w="1046" w:type="dxa"/>
            <w:tcBorders>
              <w:top w:val="single" w:sz="4" w:space="0" w:color="000000"/>
            </w:tcBorders>
          </w:tcPr>
          <w:p w14:paraId="159F0A8C"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5.3</w:t>
            </w:r>
          </w:p>
        </w:tc>
        <w:tc>
          <w:tcPr>
            <w:tcW w:w="3207" w:type="dxa"/>
            <w:gridSpan w:val="3"/>
            <w:tcBorders>
              <w:top w:val="single" w:sz="4" w:space="0" w:color="000000"/>
            </w:tcBorders>
          </w:tcPr>
          <w:p w14:paraId="116453EF" w14:textId="77777777" w:rsidR="00DE697C" w:rsidRPr="00DE697C" w:rsidRDefault="00DE697C" w:rsidP="00DE697C">
            <w:pPr>
              <w:pStyle w:val="TableParagraph"/>
              <w:tabs>
                <w:tab w:val="left" w:pos="501"/>
                <w:tab w:val="center" w:pos="537"/>
                <w:tab w:val="left" w:pos="2358"/>
                <w:tab w:val="left" w:pos="7513"/>
              </w:tabs>
              <w:ind w:right="95" w:firstLine="712"/>
              <w:jc w:val="both"/>
              <w:rPr>
                <w:bCs/>
                <w:sz w:val="20"/>
                <w:szCs w:val="20"/>
              </w:rPr>
            </w:pPr>
            <w:r w:rsidRPr="00DE697C">
              <w:rPr>
                <w:bCs/>
                <w:sz w:val="20"/>
                <w:szCs w:val="20"/>
              </w:rPr>
              <w:tab/>
              <w:t>3</w:t>
            </w:r>
            <w:r w:rsidRPr="00DE697C">
              <w:rPr>
                <w:bCs/>
                <w:sz w:val="20"/>
                <w:szCs w:val="20"/>
              </w:rPr>
              <w:tab/>
              <w:t>15.8</w:t>
            </w:r>
          </w:p>
        </w:tc>
      </w:tr>
      <w:tr w:rsidR="00DE697C" w:rsidRPr="00DE697C" w14:paraId="3876C80F" w14:textId="77777777" w:rsidTr="00DE697C">
        <w:trPr>
          <w:gridAfter w:val="1"/>
          <w:wAfter w:w="1134" w:type="dxa"/>
          <w:trHeight w:val="520"/>
        </w:trPr>
        <w:tc>
          <w:tcPr>
            <w:tcW w:w="2094" w:type="dxa"/>
          </w:tcPr>
          <w:p w14:paraId="5844F926" w14:textId="77777777" w:rsidR="00DE697C" w:rsidRPr="00DE697C" w:rsidRDefault="00DE697C" w:rsidP="00DE697C">
            <w:pPr>
              <w:pStyle w:val="TableParagraph"/>
              <w:tabs>
                <w:tab w:val="left" w:pos="7513"/>
              </w:tabs>
              <w:ind w:right="95"/>
              <w:jc w:val="both"/>
              <w:rPr>
                <w:sz w:val="20"/>
                <w:szCs w:val="20"/>
              </w:rPr>
            </w:pPr>
            <w:r w:rsidRPr="00DE697C">
              <w:rPr>
                <w:sz w:val="20"/>
                <w:szCs w:val="20"/>
              </w:rPr>
              <w:t>LP</w:t>
            </w:r>
          </w:p>
        </w:tc>
        <w:tc>
          <w:tcPr>
            <w:tcW w:w="1450" w:type="dxa"/>
          </w:tcPr>
          <w:p w14:paraId="69170703"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1</w:t>
            </w:r>
          </w:p>
        </w:tc>
        <w:tc>
          <w:tcPr>
            <w:tcW w:w="1046" w:type="dxa"/>
          </w:tcPr>
          <w:p w14:paraId="3374E09F"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5.3</w:t>
            </w:r>
          </w:p>
        </w:tc>
        <w:tc>
          <w:tcPr>
            <w:tcW w:w="3207" w:type="dxa"/>
            <w:gridSpan w:val="3"/>
          </w:tcPr>
          <w:p w14:paraId="25DA0822" w14:textId="77777777" w:rsidR="00DE697C" w:rsidRPr="00DE697C" w:rsidRDefault="00DE697C" w:rsidP="00DE697C">
            <w:pPr>
              <w:pStyle w:val="TableParagraph"/>
              <w:tabs>
                <w:tab w:val="left" w:pos="501"/>
                <w:tab w:val="center" w:pos="537"/>
                <w:tab w:val="left" w:pos="2584"/>
                <w:tab w:val="left" w:pos="7513"/>
              </w:tabs>
              <w:ind w:right="95" w:firstLine="712"/>
              <w:jc w:val="both"/>
              <w:rPr>
                <w:bCs/>
                <w:sz w:val="20"/>
                <w:szCs w:val="20"/>
              </w:rPr>
            </w:pPr>
            <w:r w:rsidRPr="00DE697C">
              <w:rPr>
                <w:bCs/>
                <w:sz w:val="20"/>
                <w:szCs w:val="20"/>
              </w:rPr>
              <w:tab/>
              <w:t xml:space="preserve">0  </w:t>
            </w:r>
            <w:r w:rsidRPr="00DE697C">
              <w:rPr>
                <w:bCs/>
                <w:sz w:val="20"/>
                <w:szCs w:val="20"/>
              </w:rPr>
              <w:tab/>
              <w:t>0</w:t>
            </w:r>
          </w:p>
        </w:tc>
      </w:tr>
      <w:tr w:rsidR="00DE697C" w:rsidRPr="00DE697C" w14:paraId="394870C0" w14:textId="77777777" w:rsidTr="00DE697C">
        <w:trPr>
          <w:gridAfter w:val="1"/>
          <w:wAfter w:w="1134" w:type="dxa"/>
          <w:trHeight w:val="495"/>
        </w:trPr>
        <w:tc>
          <w:tcPr>
            <w:tcW w:w="2094" w:type="dxa"/>
          </w:tcPr>
          <w:p w14:paraId="3FE5BAC5" w14:textId="77777777" w:rsidR="00DE697C" w:rsidRPr="00DE697C" w:rsidRDefault="00DE697C" w:rsidP="00DE697C">
            <w:pPr>
              <w:pStyle w:val="TableParagraph"/>
              <w:tabs>
                <w:tab w:val="left" w:pos="7513"/>
              </w:tabs>
              <w:ind w:right="95"/>
              <w:jc w:val="both"/>
              <w:rPr>
                <w:sz w:val="20"/>
                <w:szCs w:val="20"/>
              </w:rPr>
            </w:pPr>
            <w:r w:rsidRPr="00DE697C">
              <w:rPr>
                <w:sz w:val="20"/>
                <w:szCs w:val="20"/>
              </w:rPr>
              <w:t>1/300</w:t>
            </w:r>
          </w:p>
        </w:tc>
        <w:tc>
          <w:tcPr>
            <w:tcW w:w="1450" w:type="dxa"/>
          </w:tcPr>
          <w:p w14:paraId="6B3AF0CE"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4</w:t>
            </w:r>
          </w:p>
        </w:tc>
        <w:tc>
          <w:tcPr>
            <w:tcW w:w="1046" w:type="dxa"/>
          </w:tcPr>
          <w:p w14:paraId="4F34F57D"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21.1</w:t>
            </w:r>
          </w:p>
        </w:tc>
        <w:tc>
          <w:tcPr>
            <w:tcW w:w="3207" w:type="dxa"/>
            <w:gridSpan w:val="3"/>
          </w:tcPr>
          <w:p w14:paraId="3DBA908E" w14:textId="77777777" w:rsidR="00DE697C" w:rsidRPr="00DE697C" w:rsidRDefault="00DE697C" w:rsidP="00DE697C">
            <w:pPr>
              <w:pStyle w:val="TableParagraph"/>
              <w:tabs>
                <w:tab w:val="left" w:pos="501"/>
                <w:tab w:val="center" w:pos="537"/>
                <w:tab w:val="left" w:pos="2408"/>
                <w:tab w:val="left" w:pos="7513"/>
              </w:tabs>
              <w:ind w:right="95" w:firstLine="712"/>
              <w:jc w:val="both"/>
              <w:rPr>
                <w:bCs/>
                <w:sz w:val="20"/>
                <w:szCs w:val="20"/>
              </w:rPr>
            </w:pPr>
            <w:r w:rsidRPr="00DE697C">
              <w:rPr>
                <w:bCs/>
                <w:sz w:val="20"/>
                <w:szCs w:val="20"/>
              </w:rPr>
              <w:tab/>
              <w:t>3</w:t>
            </w:r>
            <w:r w:rsidRPr="00DE697C">
              <w:rPr>
                <w:bCs/>
                <w:sz w:val="20"/>
                <w:szCs w:val="20"/>
              </w:rPr>
              <w:tab/>
              <w:t>15.8</w:t>
            </w:r>
          </w:p>
        </w:tc>
      </w:tr>
      <w:tr w:rsidR="00DE697C" w:rsidRPr="00DE697C" w14:paraId="04297FDC" w14:textId="77777777" w:rsidTr="00DE697C">
        <w:trPr>
          <w:gridAfter w:val="1"/>
          <w:wAfter w:w="1134" w:type="dxa"/>
          <w:trHeight w:val="85"/>
        </w:trPr>
        <w:tc>
          <w:tcPr>
            <w:tcW w:w="2094" w:type="dxa"/>
            <w:tcBorders>
              <w:bottom w:val="single" w:sz="4" w:space="0" w:color="000000"/>
            </w:tcBorders>
          </w:tcPr>
          <w:p w14:paraId="2B1A556F" w14:textId="77777777" w:rsidR="00DE697C" w:rsidRPr="00DE697C" w:rsidRDefault="00DE697C" w:rsidP="00DE697C">
            <w:pPr>
              <w:pStyle w:val="TableParagraph"/>
              <w:tabs>
                <w:tab w:val="left" w:pos="7513"/>
              </w:tabs>
              <w:ind w:right="95"/>
              <w:jc w:val="both"/>
              <w:rPr>
                <w:sz w:val="20"/>
                <w:szCs w:val="20"/>
              </w:rPr>
            </w:pPr>
            <w:r w:rsidRPr="00DE697C">
              <w:rPr>
                <w:sz w:val="20"/>
                <w:szCs w:val="20"/>
              </w:rPr>
              <w:t>6/60 - 1/60</w:t>
            </w:r>
          </w:p>
          <w:p w14:paraId="2C4C5B71"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&lt;6/12 - ≥ 6/60</w:t>
            </w:r>
          </w:p>
          <w:p w14:paraId="085CC8E8"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 6/12</w:t>
            </w:r>
          </w:p>
        </w:tc>
        <w:tc>
          <w:tcPr>
            <w:tcW w:w="1450" w:type="dxa"/>
            <w:tcBorders>
              <w:bottom w:val="single" w:sz="4" w:space="0" w:color="000000"/>
            </w:tcBorders>
          </w:tcPr>
          <w:p w14:paraId="6A94315D"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2</w:t>
            </w:r>
          </w:p>
          <w:p w14:paraId="5236A8C2"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9</w:t>
            </w:r>
          </w:p>
          <w:p w14:paraId="15F4EA81"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2</w:t>
            </w:r>
          </w:p>
        </w:tc>
        <w:tc>
          <w:tcPr>
            <w:tcW w:w="1046" w:type="dxa"/>
            <w:tcBorders>
              <w:bottom w:val="single" w:sz="4" w:space="0" w:color="000000"/>
            </w:tcBorders>
          </w:tcPr>
          <w:p w14:paraId="6FD50A09"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10.5</w:t>
            </w:r>
          </w:p>
          <w:p w14:paraId="5AEEFDCB"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47.4</w:t>
            </w:r>
          </w:p>
          <w:p w14:paraId="1D8B3EC6" w14:textId="77777777" w:rsidR="00DE697C" w:rsidRPr="00DE697C" w:rsidRDefault="00DE697C" w:rsidP="00DE697C">
            <w:pPr>
              <w:pStyle w:val="TableParagraph"/>
              <w:tabs>
                <w:tab w:val="left" w:pos="7513"/>
              </w:tabs>
              <w:ind w:right="95"/>
              <w:jc w:val="both"/>
              <w:rPr>
                <w:bCs/>
                <w:sz w:val="20"/>
                <w:szCs w:val="20"/>
              </w:rPr>
            </w:pPr>
            <w:r w:rsidRPr="00DE697C">
              <w:rPr>
                <w:bCs/>
                <w:sz w:val="20"/>
                <w:szCs w:val="20"/>
              </w:rPr>
              <w:t>10.5</w:t>
            </w:r>
          </w:p>
        </w:tc>
        <w:tc>
          <w:tcPr>
            <w:tcW w:w="3207" w:type="dxa"/>
            <w:gridSpan w:val="3"/>
            <w:tcBorders>
              <w:bottom w:val="single" w:sz="4" w:space="0" w:color="000000"/>
            </w:tcBorders>
          </w:tcPr>
          <w:p w14:paraId="01F3E63C" w14:textId="77777777" w:rsidR="00DE697C" w:rsidRPr="00DE697C" w:rsidRDefault="00DE697C" w:rsidP="00DE697C">
            <w:pPr>
              <w:pStyle w:val="TableParagraph"/>
              <w:tabs>
                <w:tab w:val="left" w:pos="501"/>
                <w:tab w:val="center" w:pos="537"/>
                <w:tab w:val="left" w:pos="2408"/>
                <w:tab w:val="left" w:pos="7513"/>
              </w:tabs>
              <w:ind w:right="95" w:firstLine="712"/>
              <w:jc w:val="both"/>
              <w:rPr>
                <w:bCs/>
                <w:sz w:val="20"/>
                <w:szCs w:val="20"/>
              </w:rPr>
            </w:pPr>
            <w:r w:rsidRPr="00DE697C">
              <w:rPr>
                <w:bCs/>
                <w:sz w:val="20"/>
                <w:szCs w:val="20"/>
              </w:rPr>
              <w:tab/>
              <w:t>4</w:t>
            </w:r>
            <w:r w:rsidRPr="00DE697C">
              <w:rPr>
                <w:bCs/>
                <w:sz w:val="20"/>
                <w:szCs w:val="20"/>
              </w:rPr>
              <w:tab/>
              <w:t>21.1</w:t>
            </w:r>
          </w:p>
          <w:p w14:paraId="04D43709" w14:textId="77777777" w:rsidR="00DE697C" w:rsidRPr="00DE697C" w:rsidRDefault="00DE697C" w:rsidP="00DE697C">
            <w:pPr>
              <w:pStyle w:val="TableParagraph"/>
              <w:tabs>
                <w:tab w:val="left" w:pos="501"/>
                <w:tab w:val="center" w:pos="535"/>
                <w:tab w:val="left" w:pos="2358"/>
                <w:tab w:val="left" w:pos="7513"/>
              </w:tabs>
              <w:ind w:right="95" w:firstLine="712"/>
              <w:jc w:val="both"/>
              <w:rPr>
                <w:bCs/>
                <w:sz w:val="20"/>
                <w:szCs w:val="20"/>
              </w:rPr>
            </w:pPr>
            <w:r w:rsidRPr="00DE697C">
              <w:rPr>
                <w:bCs/>
                <w:sz w:val="20"/>
                <w:szCs w:val="20"/>
              </w:rPr>
              <w:tab/>
              <w:t>4</w:t>
            </w:r>
            <w:r w:rsidRPr="00DE697C">
              <w:rPr>
                <w:bCs/>
                <w:sz w:val="20"/>
                <w:szCs w:val="20"/>
              </w:rPr>
              <w:tab/>
              <w:t xml:space="preserve"> 21.1</w:t>
            </w:r>
          </w:p>
          <w:p w14:paraId="5C500054" w14:textId="77777777" w:rsidR="00DE697C" w:rsidRPr="00DE697C" w:rsidRDefault="00DE697C" w:rsidP="00DE697C">
            <w:pPr>
              <w:pStyle w:val="TableParagraph"/>
              <w:tabs>
                <w:tab w:val="left" w:pos="501"/>
                <w:tab w:val="center" w:pos="535"/>
                <w:tab w:val="left" w:pos="2358"/>
                <w:tab w:val="left" w:pos="7513"/>
              </w:tabs>
              <w:ind w:right="95" w:firstLine="712"/>
              <w:jc w:val="both"/>
              <w:rPr>
                <w:bCs/>
                <w:sz w:val="20"/>
                <w:szCs w:val="20"/>
              </w:rPr>
            </w:pPr>
            <w:r w:rsidRPr="00DE697C">
              <w:rPr>
                <w:bCs/>
                <w:sz w:val="20"/>
                <w:szCs w:val="20"/>
              </w:rPr>
              <w:tab/>
              <w:t>5</w:t>
            </w:r>
            <w:r w:rsidRPr="00DE697C">
              <w:rPr>
                <w:bCs/>
                <w:sz w:val="20"/>
                <w:szCs w:val="20"/>
              </w:rPr>
              <w:tab/>
              <w:t xml:space="preserve"> 26.3</w:t>
            </w:r>
          </w:p>
        </w:tc>
      </w:tr>
      <w:tr w:rsidR="00DE697C" w:rsidRPr="00DE697C" w14:paraId="5DAE6012" w14:textId="77777777" w:rsidTr="00DE697C">
        <w:trPr>
          <w:trHeight w:val="75"/>
        </w:trPr>
        <w:tc>
          <w:tcPr>
            <w:tcW w:w="2094" w:type="dxa"/>
            <w:tcBorders>
              <w:top w:val="single" w:sz="4" w:space="0" w:color="000000"/>
              <w:bottom w:val="single" w:sz="4" w:space="0" w:color="auto"/>
            </w:tcBorders>
          </w:tcPr>
          <w:p w14:paraId="471ACDF3" w14:textId="77777777" w:rsidR="00DE697C" w:rsidRPr="00DE697C" w:rsidRDefault="00DE697C" w:rsidP="00DE697C">
            <w:pPr>
              <w:pStyle w:val="TableParagraph"/>
              <w:tabs>
                <w:tab w:val="left" w:pos="7513"/>
              </w:tabs>
              <w:ind w:right="95"/>
              <w:jc w:val="both"/>
              <w:rPr>
                <w:b/>
                <w:sz w:val="20"/>
                <w:szCs w:val="20"/>
              </w:rPr>
            </w:pPr>
            <w:r w:rsidRPr="00DE697C">
              <w:rPr>
                <w:b/>
                <w:sz w:val="20"/>
                <w:szCs w:val="20"/>
              </w:rPr>
              <w:t>Total</w:t>
            </w:r>
          </w:p>
        </w:tc>
        <w:tc>
          <w:tcPr>
            <w:tcW w:w="1450" w:type="dxa"/>
            <w:tcBorders>
              <w:top w:val="single" w:sz="4" w:space="0" w:color="000000"/>
              <w:bottom w:val="single" w:sz="4" w:space="0" w:color="auto"/>
            </w:tcBorders>
          </w:tcPr>
          <w:p w14:paraId="6A5BB180" w14:textId="77777777" w:rsidR="00DE697C" w:rsidRPr="00DE697C" w:rsidRDefault="00DE697C" w:rsidP="00DE697C">
            <w:pPr>
              <w:pStyle w:val="TableParagraph"/>
              <w:tabs>
                <w:tab w:val="left" w:pos="7513"/>
              </w:tabs>
              <w:ind w:right="95"/>
              <w:jc w:val="both"/>
              <w:rPr>
                <w:b/>
                <w:bCs/>
                <w:sz w:val="20"/>
                <w:szCs w:val="20"/>
              </w:rPr>
            </w:pPr>
            <w:r w:rsidRPr="00DE697C">
              <w:rPr>
                <w:b/>
                <w:bCs/>
                <w:sz w:val="20"/>
                <w:szCs w:val="20"/>
              </w:rPr>
              <w:t xml:space="preserve">      19</w:t>
            </w:r>
          </w:p>
        </w:tc>
        <w:tc>
          <w:tcPr>
            <w:tcW w:w="1395" w:type="dxa"/>
            <w:gridSpan w:val="2"/>
            <w:tcBorders>
              <w:top w:val="single" w:sz="4" w:space="0" w:color="000000"/>
              <w:bottom w:val="single" w:sz="4" w:space="0" w:color="auto"/>
            </w:tcBorders>
          </w:tcPr>
          <w:p w14:paraId="5AB56D9D" w14:textId="77777777" w:rsidR="00DE697C" w:rsidRPr="00DE697C" w:rsidRDefault="00DE697C" w:rsidP="00DE697C">
            <w:pPr>
              <w:pStyle w:val="TableParagraph"/>
              <w:tabs>
                <w:tab w:val="left" w:pos="7513"/>
              </w:tabs>
              <w:ind w:right="95"/>
              <w:jc w:val="both"/>
              <w:rPr>
                <w:b/>
                <w:bCs/>
                <w:sz w:val="20"/>
                <w:szCs w:val="20"/>
              </w:rPr>
            </w:pPr>
            <w:r w:rsidRPr="00DE697C">
              <w:rPr>
                <w:b/>
                <w:bCs/>
                <w:sz w:val="20"/>
                <w:szCs w:val="20"/>
              </w:rPr>
              <w:t>100</w:t>
            </w:r>
          </w:p>
        </w:tc>
        <w:tc>
          <w:tcPr>
            <w:tcW w:w="1494" w:type="dxa"/>
            <w:tcBorders>
              <w:top w:val="single" w:sz="4" w:space="0" w:color="000000"/>
              <w:bottom w:val="single" w:sz="4" w:space="0" w:color="auto"/>
            </w:tcBorders>
          </w:tcPr>
          <w:p w14:paraId="7D3B125F" w14:textId="77777777" w:rsidR="00DE697C" w:rsidRPr="00DE697C" w:rsidRDefault="00DE697C" w:rsidP="00DE697C">
            <w:pPr>
              <w:pStyle w:val="TableParagraph"/>
              <w:tabs>
                <w:tab w:val="left" w:pos="7513"/>
              </w:tabs>
              <w:ind w:right="95" w:firstLine="712"/>
              <w:jc w:val="both"/>
              <w:rPr>
                <w:b/>
                <w:bCs/>
                <w:sz w:val="20"/>
                <w:szCs w:val="20"/>
              </w:rPr>
            </w:pPr>
            <w:r w:rsidRPr="00DE697C">
              <w:rPr>
                <w:b/>
                <w:bCs/>
                <w:sz w:val="20"/>
                <w:szCs w:val="20"/>
              </w:rPr>
              <w:t>19</w:t>
            </w:r>
          </w:p>
        </w:tc>
        <w:tc>
          <w:tcPr>
            <w:tcW w:w="2498" w:type="dxa"/>
            <w:gridSpan w:val="2"/>
            <w:tcBorders>
              <w:top w:val="single" w:sz="4" w:space="0" w:color="000000"/>
              <w:bottom w:val="single" w:sz="4" w:space="0" w:color="auto"/>
            </w:tcBorders>
          </w:tcPr>
          <w:p w14:paraId="5E3CCDC1" w14:textId="77777777" w:rsidR="00DE697C" w:rsidRPr="00DE697C" w:rsidRDefault="00DE697C" w:rsidP="00DE697C">
            <w:pPr>
              <w:pStyle w:val="TableParagraph"/>
              <w:tabs>
                <w:tab w:val="left" w:pos="7513"/>
              </w:tabs>
              <w:ind w:right="95" w:firstLine="1074"/>
              <w:jc w:val="both"/>
              <w:rPr>
                <w:b/>
                <w:bCs/>
                <w:sz w:val="20"/>
                <w:szCs w:val="20"/>
              </w:rPr>
            </w:pPr>
            <w:r w:rsidRPr="00DE697C">
              <w:rPr>
                <w:b/>
                <w:bCs/>
                <w:sz w:val="20"/>
                <w:szCs w:val="20"/>
              </w:rPr>
              <w:t>100</w:t>
            </w:r>
          </w:p>
        </w:tc>
      </w:tr>
    </w:tbl>
    <w:p w14:paraId="37973CBE" w14:textId="60614213" w:rsidR="00AA4318" w:rsidRPr="00DE697C" w:rsidRDefault="00AA4318" w:rsidP="00DE697C">
      <w:pPr>
        <w:tabs>
          <w:tab w:val="left" w:pos="717"/>
          <w:tab w:val="left" w:pos="7513"/>
        </w:tabs>
        <w:ind w:right="95"/>
        <w:jc w:val="both"/>
        <w:rPr>
          <w:sz w:val="24"/>
          <w:szCs w:val="24"/>
        </w:rPr>
      </w:pPr>
    </w:p>
    <w:p w14:paraId="40022395" w14:textId="547AD6C5" w:rsidR="00B97535" w:rsidRPr="00DE697C" w:rsidRDefault="00B97535" w:rsidP="00DE697C">
      <w:pPr>
        <w:tabs>
          <w:tab w:val="left" w:pos="717"/>
          <w:tab w:val="left" w:pos="7513"/>
        </w:tabs>
        <w:ind w:right="95" w:firstLine="426"/>
        <w:jc w:val="both"/>
        <w:rPr>
          <w:sz w:val="24"/>
          <w:szCs w:val="24"/>
        </w:rPr>
      </w:pPr>
      <w:r w:rsidRPr="00DE697C">
        <w:rPr>
          <w:sz w:val="24"/>
          <w:szCs w:val="24"/>
        </w:rPr>
        <w:t>Based on the research findings</w:t>
      </w:r>
      <w:r w:rsidR="00D15337" w:rsidRPr="00DE697C">
        <w:rPr>
          <w:sz w:val="24"/>
          <w:szCs w:val="24"/>
        </w:rPr>
        <w:t>.</w:t>
      </w:r>
      <w:r w:rsidRPr="00DE697C">
        <w:rPr>
          <w:sz w:val="24"/>
          <w:szCs w:val="24"/>
        </w:rPr>
        <w:t xml:space="preserve"> the most common underlying injury was head trauma accompanied by maxillofacial trauma and skull base fractures</w:t>
      </w:r>
      <w:r w:rsidR="00D15337" w:rsidRPr="00DE697C">
        <w:rPr>
          <w:sz w:val="24"/>
          <w:szCs w:val="24"/>
        </w:rPr>
        <w:t>.</w:t>
      </w:r>
      <w:r w:rsidRPr="00DE697C">
        <w:rPr>
          <w:sz w:val="24"/>
          <w:szCs w:val="24"/>
        </w:rPr>
        <w:t xml:space="preserve"> accounting for 8 cases (42.1%). Head trauma with maxillofacial trauma was observed in 5 cases (26.3%). Head trauma with skull base fractures was found in 2 cases (10.5%). Additionally</w:t>
      </w:r>
      <w:r w:rsidR="00D15337" w:rsidRPr="00DE697C">
        <w:rPr>
          <w:sz w:val="24"/>
          <w:szCs w:val="24"/>
        </w:rPr>
        <w:t>.</w:t>
      </w:r>
      <w:r w:rsidRPr="00DE697C">
        <w:rPr>
          <w:sz w:val="24"/>
          <w:szCs w:val="24"/>
        </w:rPr>
        <w:t xml:space="preserve"> there were 4 cases (21.1%) with no underlying injuries. For direct traumatic optic neuropathy (TON)</w:t>
      </w:r>
      <w:r w:rsidR="00D15337" w:rsidRPr="00DE697C">
        <w:rPr>
          <w:sz w:val="24"/>
          <w:szCs w:val="24"/>
        </w:rPr>
        <w:t>.</w:t>
      </w:r>
      <w:r w:rsidRPr="00DE697C">
        <w:rPr>
          <w:sz w:val="24"/>
          <w:szCs w:val="24"/>
        </w:rPr>
        <w:t xml:space="preserve"> 2 cases were associated with maxillofacial trauma</w:t>
      </w:r>
      <w:r w:rsidR="00D15337" w:rsidRPr="00DE697C">
        <w:rPr>
          <w:sz w:val="24"/>
          <w:szCs w:val="24"/>
        </w:rPr>
        <w:t>.</w:t>
      </w:r>
      <w:r w:rsidRPr="00DE697C">
        <w:rPr>
          <w:sz w:val="24"/>
          <w:szCs w:val="24"/>
        </w:rPr>
        <w:t xml:space="preserve"> and another 2 cases involved head trauma with maxillofacial trauma accompanied by skull base fractures. The characteristics of traumatic optic neuropathy patients at RSUP Ngoerah Denpasar in 2022–2023 are presented in the table below.</w:t>
      </w:r>
    </w:p>
    <w:p w14:paraId="3CCA3C0C" w14:textId="77777777" w:rsidR="00FD2F1F" w:rsidRPr="00DE697C" w:rsidRDefault="00FD2F1F" w:rsidP="00DE697C">
      <w:pPr>
        <w:tabs>
          <w:tab w:val="left" w:pos="717"/>
          <w:tab w:val="left" w:pos="7513"/>
        </w:tabs>
        <w:ind w:right="95"/>
        <w:jc w:val="both"/>
        <w:rPr>
          <w:sz w:val="24"/>
          <w:szCs w:val="24"/>
        </w:rPr>
      </w:pPr>
    </w:p>
    <w:p w14:paraId="5A433AB1" w14:textId="5131F546" w:rsidR="005C1385" w:rsidRPr="00DE697C" w:rsidRDefault="00DA6FE6" w:rsidP="00DE697C">
      <w:pPr>
        <w:tabs>
          <w:tab w:val="left" w:pos="7513"/>
        </w:tabs>
        <w:ind w:left="1276" w:right="95" w:hanging="1276"/>
        <w:jc w:val="both"/>
        <w:rPr>
          <w:b/>
          <w:bCs/>
        </w:rPr>
      </w:pPr>
      <w:r w:rsidRPr="00DE697C">
        <w:rPr>
          <w:b/>
          <w:bCs/>
        </w:rPr>
        <w:t>Table</w:t>
      </w:r>
      <w:r w:rsidR="00B97535" w:rsidRPr="00DE697C">
        <w:rPr>
          <w:b/>
          <w:bCs/>
        </w:rPr>
        <w:t xml:space="preserve"> 5.  </w:t>
      </w:r>
      <w:r w:rsidR="00DE697C">
        <w:rPr>
          <w:b/>
          <w:bCs/>
        </w:rPr>
        <w:tab/>
      </w:r>
      <w:r w:rsidR="00B97535" w:rsidRPr="00DE697C">
        <w:rPr>
          <w:b/>
          <w:bCs/>
        </w:rPr>
        <w:t xml:space="preserve">Characteristics of Traumatic Optic Neuropathy Patients Based on Types of injury at RSUP </w:t>
      </w:r>
      <w:r w:rsidR="005A79A8" w:rsidRPr="00DE697C">
        <w:rPr>
          <w:b/>
          <w:bCs/>
        </w:rPr>
        <w:t>Ngoerah</w:t>
      </w:r>
      <w:r w:rsidR="00B97535" w:rsidRPr="00DE697C">
        <w:rPr>
          <w:b/>
          <w:bCs/>
        </w:rPr>
        <w:t xml:space="preserve"> Denpasar in 2022–2023</w:t>
      </w:r>
    </w:p>
    <w:tbl>
      <w:tblPr>
        <w:tblW w:w="8931" w:type="dxa"/>
        <w:tblLayout w:type="fixed"/>
        <w:tblCellMar>
          <w:left w:w="0" w:type="dxa"/>
          <w:right w:w="0" w:type="dxa"/>
        </w:tblCellMar>
        <w:tblLook w:val="01E0" w:firstRow="1" w:lastRow="1" w:firstColumn="1" w:lastColumn="1" w:noHBand="0" w:noVBand="0"/>
      </w:tblPr>
      <w:tblGrid>
        <w:gridCol w:w="2065"/>
        <w:gridCol w:w="20"/>
        <w:gridCol w:w="1556"/>
        <w:gridCol w:w="1604"/>
        <w:gridCol w:w="1275"/>
        <w:gridCol w:w="2411"/>
      </w:tblGrid>
      <w:tr w:rsidR="00DE697C" w:rsidRPr="00DE697C" w14:paraId="294A5C2D" w14:textId="77777777" w:rsidTr="00DE697C">
        <w:trPr>
          <w:trHeight w:val="202"/>
        </w:trPr>
        <w:tc>
          <w:tcPr>
            <w:tcW w:w="2065" w:type="dxa"/>
            <w:tcBorders>
              <w:top w:val="single" w:sz="4" w:space="0" w:color="7E7E7E"/>
              <w:bottom w:val="single" w:sz="4" w:space="0" w:color="000000"/>
            </w:tcBorders>
          </w:tcPr>
          <w:p w14:paraId="4ED90F37" w14:textId="5B38A263" w:rsidR="00DA6FE6" w:rsidRPr="00DE697C" w:rsidRDefault="00DA6FE6" w:rsidP="00DE697C">
            <w:pPr>
              <w:pStyle w:val="TableParagraph"/>
              <w:tabs>
                <w:tab w:val="left" w:pos="7513"/>
              </w:tabs>
              <w:ind w:right="95"/>
              <w:jc w:val="both"/>
              <w:rPr>
                <w:b/>
                <w:sz w:val="20"/>
                <w:szCs w:val="20"/>
              </w:rPr>
            </w:pPr>
            <w:r w:rsidRPr="00DE697C">
              <w:rPr>
                <w:b/>
                <w:sz w:val="20"/>
                <w:szCs w:val="20"/>
              </w:rPr>
              <w:t>Types of injury</w:t>
            </w:r>
          </w:p>
        </w:tc>
        <w:tc>
          <w:tcPr>
            <w:tcW w:w="20" w:type="dxa"/>
            <w:tcBorders>
              <w:top w:val="single" w:sz="4" w:space="0" w:color="7E7E7E"/>
              <w:bottom w:val="single" w:sz="4" w:space="0" w:color="000000"/>
            </w:tcBorders>
          </w:tcPr>
          <w:p w14:paraId="782997EE" w14:textId="77777777" w:rsidR="00DA6FE6" w:rsidRPr="00DE697C" w:rsidRDefault="00DA6FE6" w:rsidP="00DE697C">
            <w:pPr>
              <w:pStyle w:val="TableParagraph"/>
              <w:tabs>
                <w:tab w:val="left" w:pos="7513"/>
              </w:tabs>
              <w:ind w:right="95" w:firstLine="709"/>
              <w:jc w:val="both"/>
              <w:rPr>
                <w:sz w:val="20"/>
                <w:szCs w:val="20"/>
              </w:rPr>
            </w:pPr>
          </w:p>
        </w:tc>
        <w:tc>
          <w:tcPr>
            <w:tcW w:w="1556" w:type="dxa"/>
            <w:tcBorders>
              <w:top w:val="single" w:sz="4" w:space="0" w:color="7E7E7E"/>
              <w:bottom w:val="single" w:sz="4" w:space="0" w:color="000000"/>
            </w:tcBorders>
          </w:tcPr>
          <w:p w14:paraId="68BFF8B2" w14:textId="42A6692F" w:rsidR="00DA6FE6" w:rsidRPr="00DE697C" w:rsidRDefault="00DA6FE6" w:rsidP="00DE697C">
            <w:pPr>
              <w:pStyle w:val="TableParagraph"/>
              <w:tabs>
                <w:tab w:val="left" w:pos="7513"/>
              </w:tabs>
              <w:ind w:right="95" w:firstLine="284"/>
              <w:jc w:val="both"/>
              <w:rPr>
                <w:b/>
                <w:sz w:val="20"/>
                <w:szCs w:val="20"/>
              </w:rPr>
            </w:pPr>
            <w:r w:rsidRPr="00DE697C">
              <w:rPr>
                <w:b/>
                <w:sz w:val="20"/>
                <w:szCs w:val="20"/>
              </w:rPr>
              <w:t>Frequency (N</w:t>
            </w:r>
            <w:r w:rsidRPr="00DE697C">
              <w:rPr>
                <w:b/>
                <w:spacing w:val="-3"/>
                <w:sz w:val="20"/>
                <w:szCs w:val="20"/>
              </w:rPr>
              <w:t xml:space="preserve"> </w:t>
            </w:r>
            <w:r w:rsidRPr="00DE697C">
              <w:rPr>
                <w:b/>
                <w:sz w:val="20"/>
                <w:szCs w:val="20"/>
              </w:rPr>
              <w:t>=</w:t>
            </w:r>
            <w:r w:rsidRPr="00DE697C">
              <w:rPr>
                <w:b/>
                <w:spacing w:val="-1"/>
                <w:sz w:val="20"/>
                <w:szCs w:val="20"/>
              </w:rPr>
              <w:t xml:space="preserve"> </w:t>
            </w:r>
            <w:r w:rsidRPr="00DE697C">
              <w:rPr>
                <w:b/>
                <w:sz w:val="20"/>
                <w:szCs w:val="20"/>
              </w:rPr>
              <w:t>19)</w:t>
            </w:r>
          </w:p>
        </w:tc>
        <w:tc>
          <w:tcPr>
            <w:tcW w:w="1604" w:type="dxa"/>
            <w:tcBorders>
              <w:top w:val="single" w:sz="4" w:space="0" w:color="7E7E7E"/>
              <w:bottom w:val="single" w:sz="4" w:space="0" w:color="000000"/>
            </w:tcBorders>
          </w:tcPr>
          <w:p w14:paraId="27B4B522" w14:textId="6B91D1A3" w:rsidR="00DA6FE6" w:rsidRPr="00DE697C" w:rsidRDefault="00DA6FE6" w:rsidP="00DE697C">
            <w:pPr>
              <w:pStyle w:val="TableParagraph"/>
              <w:tabs>
                <w:tab w:val="left" w:pos="7513"/>
              </w:tabs>
              <w:ind w:right="95" w:firstLine="422"/>
              <w:jc w:val="both"/>
              <w:rPr>
                <w:b/>
                <w:sz w:val="20"/>
                <w:szCs w:val="20"/>
              </w:rPr>
            </w:pPr>
            <w:r w:rsidRPr="00DE697C">
              <w:rPr>
                <w:rStyle w:val="rynqvb"/>
                <w:b/>
                <w:bCs/>
                <w:sz w:val="20"/>
                <w:szCs w:val="20"/>
                <w:lang w:val="en"/>
              </w:rPr>
              <w:t>Percentage</w:t>
            </w:r>
            <w:r w:rsidRPr="00DE697C">
              <w:rPr>
                <w:b/>
                <w:sz w:val="20"/>
                <w:szCs w:val="20"/>
              </w:rPr>
              <w:t xml:space="preserve"> (%)</w:t>
            </w:r>
          </w:p>
        </w:tc>
        <w:tc>
          <w:tcPr>
            <w:tcW w:w="1275" w:type="dxa"/>
            <w:tcBorders>
              <w:top w:val="single" w:sz="4" w:space="0" w:color="7E7E7E"/>
              <w:bottom w:val="single" w:sz="4" w:space="0" w:color="000000"/>
            </w:tcBorders>
          </w:tcPr>
          <w:p w14:paraId="5A95A57A" w14:textId="77777777" w:rsidR="00DA6FE6" w:rsidRPr="00DE697C" w:rsidRDefault="00DA6FE6" w:rsidP="00DE697C">
            <w:pPr>
              <w:pStyle w:val="TableParagraph"/>
              <w:tabs>
                <w:tab w:val="left" w:pos="7513"/>
              </w:tabs>
              <w:ind w:right="95" w:hanging="6"/>
              <w:jc w:val="both"/>
              <w:rPr>
                <w:b/>
                <w:sz w:val="20"/>
                <w:szCs w:val="20"/>
              </w:rPr>
            </w:pPr>
            <w:r w:rsidRPr="00DE697C">
              <w:rPr>
                <w:b/>
                <w:sz w:val="20"/>
                <w:szCs w:val="20"/>
              </w:rPr>
              <w:t>TON</w:t>
            </w:r>
          </w:p>
          <w:p w14:paraId="39FA2824" w14:textId="77777777" w:rsidR="00DA6FE6" w:rsidRPr="00DE697C" w:rsidRDefault="00DA6FE6" w:rsidP="00DE697C">
            <w:pPr>
              <w:pStyle w:val="TableParagraph"/>
              <w:tabs>
                <w:tab w:val="left" w:pos="7513"/>
              </w:tabs>
              <w:ind w:right="95" w:hanging="6"/>
              <w:jc w:val="both"/>
              <w:rPr>
                <w:b/>
                <w:sz w:val="20"/>
                <w:szCs w:val="20"/>
              </w:rPr>
            </w:pPr>
            <w:r w:rsidRPr="00DE697C">
              <w:rPr>
                <w:b/>
                <w:sz w:val="20"/>
                <w:szCs w:val="20"/>
              </w:rPr>
              <w:t xml:space="preserve">Direct </w:t>
            </w:r>
          </w:p>
        </w:tc>
        <w:tc>
          <w:tcPr>
            <w:tcW w:w="2411" w:type="dxa"/>
            <w:tcBorders>
              <w:top w:val="single" w:sz="4" w:space="0" w:color="7E7E7E"/>
              <w:bottom w:val="single" w:sz="4" w:space="0" w:color="000000"/>
            </w:tcBorders>
          </w:tcPr>
          <w:p w14:paraId="4CE2B95B" w14:textId="77777777" w:rsidR="00DA6FE6" w:rsidRPr="00DE697C" w:rsidRDefault="00DA6FE6" w:rsidP="00DE697C">
            <w:pPr>
              <w:pStyle w:val="TableParagraph"/>
              <w:tabs>
                <w:tab w:val="left" w:pos="7513"/>
              </w:tabs>
              <w:ind w:right="95" w:firstLine="370"/>
              <w:jc w:val="both"/>
              <w:rPr>
                <w:b/>
                <w:sz w:val="20"/>
                <w:szCs w:val="20"/>
              </w:rPr>
            </w:pPr>
            <w:r w:rsidRPr="00DE697C">
              <w:rPr>
                <w:b/>
                <w:sz w:val="20"/>
                <w:szCs w:val="20"/>
              </w:rPr>
              <w:t>TON</w:t>
            </w:r>
          </w:p>
          <w:p w14:paraId="30EDAE74" w14:textId="77777777" w:rsidR="00DA6FE6" w:rsidRPr="00DE697C" w:rsidRDefault="00DA6FE6" w:rsidP="00DE697C">
            <w:pPr>
              <w:pStyle w:val="TableParagraph"/>
              <w:tabs>
                <w:tab w:val="left" w:pos="7513"/>
              </w:tabs>
              <w:ind w:right="95" w:firstLine="370"/>
              <w:jc w:val="both"/>
              <w:rPr>
                <w:b/>
                <w:sz w:val="20"/>
                <w:szCs w:val="20"/>
              </w:rPr>
            </w:pPr>
            <w:r w:rsidRPr="00DE697C">
              <w:rPr>
                <w:b/>
                <w:sz w:val="20"/>
                <w:szCs w:val="20"/>
              </w:rPr>
              <w:t xml:space="preserve">Indirect </w:t>
            </w:r>
          </w:p>
        </w:tc>
      </w:tr>
      <w:tr w:rsidR="00DE697C" w:rsidRPr="00DE697C" w14:paraId="13E66B60" w14:textId="77777777" w:rsidTr="00DE697C">
        <w:trPr>
          <w:trHeight w:val="279"/>
        </w:trPr>
        <w:tc>
          <w:tcPr>
            <w:tcW w:w="2065" w:type="dxa"/>
            <w:tcBorders>
              <w:top w:val="single" w:sz="4" w:space="0" w:color="000000"/>
            </w:tcBorders>
          </w:tcPr>
          <w:p w14:paraId="24BF017E" w14:textId="7DF654BF" w:rsidR="00DA6FE6" w:rsidRPr="00DE697C" w:rsidRDefault="00DA6FE6" w:rsidP="00DE697C">
            <w:pPr>
              <w:pStyle w:val="TableParagraph"/>
              <w:tabs>
                <w:tab w:val="left" w:pos="7513"/>
              </w:tabs>
              <w:ind w:right="95"/>
              <w:jc w:val="both"/>
              <w:rPr>
                <w:sz w:val="20"/>
                <w:szCs w:val="20"/>
              </w:rPr>
            </w:pPr>
            <w:r w:rsidRPr="00DE697C">
              <w:rPr>
                <w:rStyle w:val="rynqvb"/>
                <w:sz w:val="20"/>
                <w:szCs w:val="20"/>
                <w:lang w:val="en"/>
              </w:rPr>
              <w:t>Head injury + maxillofacial trauma</w:t>
            </w:r>
          </w:p>
        </w:tc>
        <w:tc>
          <w:tcPr>
            <w:tcW w:w="20" w:type="dxa"/>
            <w:tcBorders>
              <w:top w:val="single" w:sz="4" w:space="0" w:color="000000"/>
            </w:tcBorders>
          </w:tcPr>
          <w:p w14:paraId="4EA8FBC4" w14:textId="77777777" w:rsidR="00DA6FE6" w:rsidRPr="00DE697C" w:rsidRDefault="00DA6FE6" w:rsidP="00DE697C">
            <w:pPr>
              <w:pStyle w:val="TableParagraph"/>
              <w:tabs>
                <w:tab w:val="left" w:pos="7513"/>
              </w:tabs>
              <w:ind w:right="95" w:firstLine="709"/>
              <w:jc w:val="both"/>
              <w:rPr>
                <w:sz w:val="20"/>
                <w:szCs w:val="20"/>
              </w:rPr>
            </w:pPr>
          </w:p>
        </w:tc>
        <w:tc>
          <w:tcPr>
            <w:tcW w:w="1556" w:type="dxa"/>
            <w:tcBorders>
              <w:top w:val="single" w:sz="4" w:space="0" w:color="000000"/>
            </w:tcBorders>
          </w:tcPr>
          <w:p w14:paraId="43CF627F"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5</w:t>
            </w:r>
          </w:p>
        </w:tc>
        <w:tc>
          <w:tcPr>
            <w:tcW w:w="1604" w:type="dxa"/>
            <w:tcBorders>
              <w:top w:val="single" w:sz="4" w:space="0" w:color="000000"/>
            </w:tcBorders>
          </w:tcPr>
          <w:p w14:paraId="0602893E" w14:textId="05AF511F" w:rsidR="00DA6FE6" w:rsidRPr="00DE697C" w:rsidRDefault="00DA6FE6" w:rsidP="00DE697C">
            <w:pPr>
              <w:pStyle w:val="TableParagraph"/>
              <w:tabs>
                <w:tab w:val="left" w:pos="7513"/>
              </w:tabs>
              <w:ind w:right="95" w:firstLine="180"/>
              <w:jc w:val="both"/>
              <w:rPr>
                <w:sz w:val="20"/>
                <w:szCs w:val="20"/>
              </w:rPr>
            </w:pPr>
            <w:r w:rsidRPr="00DE697C">
              <w:rPr>
                <w:sz w:val="20"/>
                <w:szCs w:val="20"/>
              </w:rPr>
              <w:t>26.3</w:t>
            </w:r>
          </w:p>
        </w:tc>
        <w:tc>
          <w:tcPr>
            <w:tcW w:w="1275" w:type="dxa"/>
            <w:tcBorders>
              <w:top w:val="single" w:sz="4" w:space="0" w:color="000000"/>
            </w:tcBorders>
          </w:tcPr>
          <w:p w14:paraId="2A57C09A"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2</w:t>
            </w:r>
          </w:p>
        </w:tc>
        <w:tc>
          <w:tcPr>
            <w:tcW w:w="2411" w:type="dxa"/>
            <w:tcBorders>
              <w:top w:val="single" w:sz="4" w:space="0" w:color="000000"/>
            </w:tcBorders>
          </w:tcPr>
          <w:p w14:paraId="0384ACD0" w14:textId="77777777" w:rsidR="00DA6FE6" w:rsidRPr="00DE697C" w:rsidRDefault="00DA6FE6" w:rsidP="00DE697C">
            <w:pPr>
              <w:pStyle w:val="TableParagraph"/>
              <w:tabs>
                <w:tab w:val="left" w:pos="7513"/>
              </w:tabs>
              <w:ind w:right="95" w:firstLine="370"/>
              <w:jc w:val="both"/>
              <w:rPr>
                <w:sz w:val="20"/>
                <w:szCs w:val="20"/>
              </w:rPr>
            </w:pPr>
            <w:r w:rsidRPr="00DE697C">
              <w:rPr>
                <w:sz w:val="20"/>
                <w:szCs w:val="20"/>
              </w:rPr>
              <w:t>3</w:t>
            </w:r>
          </w:p>
        </w:tc>
      </w:tr>
      <w:tr w:rsidR="00DE697C" w:rsidRPr="00DE697C" w14:paraId="1E00389D" w14:textId="77777777" w:rsidTr="00DE697C">
        <w:trPr>
          <w:trHeight w:val="341"/>
        </w:trPr>
        <w:tc>
          <w:tcPr>
            <w:tcW w:w="2065" w:type="dxa"/>
          </w:tcPr>
          <w:p w14:paraId="09B2041E" w14:textId="27B608B2" w:rsidR="00DA6FE6" w:rsidRPr="00DE697C" w:rsidRDefault="00DA6FE6" w:rsidP="00DE697C">
            <w:pPr>
              <w:pStyle w:val="TableParagraph"/>
              <w:tabs>
                <w:tab w:val="left" w:pos="7513"/>
              </w:tabs>
              <w:ind w:right="95"/>
              <w:jc w:val="both"/>
              <w:rPr>
                <w:b/>
                <w:bCs/>
                <w:sz w:val="20"/>
                <w:szCs w:val="20"/>
              </w:rPr>
            </w:pPr>
            <w:r w:rsidRPr="00DE697C">
              <w:rPr>
                <w:rStyle w:val="rynqvb"/>
                <w:sz w:val="20"/>
                <w:szCs w:val="20"/>
                <w:lang w:val="en"/>
              </w:rPr>
              <w:t>Head injury + skull base fracture</w:t>
            </w:r>
          </w:p>
        </w:tc>
        <w:tc>
          <w:tcPr>
            <w:tcW w:w="20" w:type="dxa"/>
          </w:tcPr>
          <w:p w14:paraId="0D5495E5" w14:textId="77777777" w:rsidR="00DA6FE6" w:rsidRPr="00DE697C" w:rsidRDefault="00DA6FE6" w:rsidP="00DE697C">
            <w:pPr>
              <w:pStyle w:val="TableParagraph"/>
              <w:tabs>
                <w:tab w:val="left" w:pos="7513"/>
              </w:tabs>
              <w:ind w:right="95" w:firstLine="709"/>
              <w:jc w:val="both"/>
              <w:rPr>
                <w:sz w:val="20"/>
                <w:szCs w:val="20"/>
              </w:rPr>
            </w:pPr>
          </w:p>
        </w:tc>
        <w:tc>
          <w:tcPr>
            <w:tcW w:w="1556" w:type="dxa"/>
          </w:tcPr>
          <w:p w14:paraId="01071F01"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2</w:t>
            </w:r>
          </w:p>
        </w:tc>
        <w:tc>
          <w:tcPr>
            <w:tcW w:w="1604" w:type="dxa"/>
          </w:tcPr>
          <w:p w14:paraId="093D0E4E" w14:textId="584D1195" w:rsidR="00DA6FE6" w:rsidRPr="00DE697C" w:rsidRDefault="00DA6FE6" w:rsidP="00DE697C">
            <w:pPr>
              <w:pStyle w:val="TableParagraph"/>
              <w:tabs>
                <w:tab w:val="left" w:pos="7513"/>
              </w:tabs>
              <w:ind w:right="95" w:firstLine="180"/>
              <w:jc w:val="both"/>
              <w:rPr>
                <w:sz w:val="20"/>
                <w:szCs w:val="20"/>
              </w:rPr>
            </w:pPr>
            <w:r w:rsidRPr="00DE697C">
              <w:rPr>
                <w:sz w:val="20"/>
                <w:szCs w:val="20"/>
              </w:rPr>
              <w:t>10.5</w:t>
            </w:r>
          </w:p>
        </w:tc>
        <w:tc>
          <w:tcPr>
            <w:tcW w:w="1275" w:type="dxa"/>
          </w:tcPr>
          <w:p w14:paraId="065A8EDF"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0</w:t>
            </w:r>
          </w:p>
        </w:tc>
        <w:tc>
          <w:tcPr>
            <w:tcW w:w="2411" w:type="dxa"/>
          </w:tcPr>
          <w:p w14:paraId="5B27B965"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2</w:t>
            </w:r>
          </w:p>
        </w:tc>
      </w:tr>
      <w:tr w:rsidR="00DE697C" w:rsidRPr="00DE697C" w14:paraId="1E10EAE0" w14:textId="77777777" w:rsidTr="00DE697C">
        <w:trPr>
          <w:trHeight w:val="342"/>
        </w:trPr>
        <w:tc>
          <w:tcPr>
            <w:tcW w:w="2065" w:type="dxa"/>
          </w:tcPr>
          <w:p w14:paraId="0988A3E6" w14:textId="7839D6D0" w:rsidR="00DA6FE6" w:rsidRPr="00DE697C" w:rsidRDefault="00DA6FE6" w:rsidP="00DE697C">
            <w:pPr>
              <w:pStyle w:val="TableParagraph"/>
              <w:tabs>
                <w:tab w:val="left" w:pos="7513"/>
              </w:tabs>
              <w:ind w:right="95"/>
              <w:jc w:val="both"/>
              <w:rPr>
                <w:b/>
                <w:bCs/>
                <w:sz w:val="20"/>
                <w:szCs w:val="20"/>
              </w:rPr>
            </w:pPr>
            <w:r w:rsidRPr="00DE697C">
              <w:rPr>
                <w:rStyle w:val="rynqvb"/>
                <w:sz w:val="20"/>
                <w:szCs w:val="20"/>
                <w:lang w:val="en"/>
              </w:rPr>
              <w:t>Head injury + maxillofacial trauma + skull base fracture</w:t>
            </w:r>
          </w:p>
        </w:tc>
        <w:tc>
          <w:tcPr>
            <w:tcW w:w="20" w:type="dxa"/>
          </w:tcPr>
          <w:p w14:paraId="5A045F42" w14:textId="77777777" w:rsidR="00DA6FE6" w:rsidRPr="00DE697C" w:rsidRDefault="00DA6FE6" w:rsidP="00DE697C">
            <w:pPr>
              <w:pStyle w:val="TableParagraph"/>
              <w:tabs>
                <w:tab w:val="left" w:pos="7513"/>
              </w:tabs>
              <w:ind w:right="95" w:firstLine="709"/>
              <w:jc w:val="both"/>
              <w:rPr>
                <w:sz w:val="20"/>
                <w:szCs w:val="20"/>
              </w:rPr>
            </w:pPr>
          </w:p>
        </w:tc>
        <w:tc>
          <w:tcPr>
            <w:tcW w:w="1556" w:type="dxa"/>
          </w:tcPr>
          <w:p w14:paraId="74C7435C"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8</w:t>
            </w:r>
          </w:p>
        </w:tc>
        <w:tc>
          <w:tcPr>
            <w:tcW w:w="1604" w:type="dxa"/>
          </w:tcPr>
          <w:p w14:paraId="1B701F34" w14:textId="17FBD62D" w:rsidR="00DA6FE6" w:rsidRPr="00DE697C" w:rsidRDefault="00DA6FE6" w:rsidP="00DE697C">
            <w:pPr>
              <w:pStyle w:val="TableParagraph"/>
              <w:tabs>
                <w:tab w:val="left" w:pos="7513"/>
              </w:tabs>
              <w:ind w:right="95" w:firstLine="180"/>
              <w:jc w:val="both"/>
              <w:rPr>
                <w:sz w:val="20"/>
                <w:szCs w:val="20"/>
              </w:rPr>
            </w:pPr>
            <w:r w:rsidRPr="00DE697C">
              <w:rPr>
                <w:sz w:val="20"/>
                <w:szCs w:val="20"/>
              </w:rPr>
              <w:t>42.1</w:t>
            </w:r>
          </w:p>
        </w:tc>
        <w:tc>
          <w:tcPr>
            <w:tcW w:w="1275" w:type="dxa"/>
          </w:tcPr>
          <w:p w14:paraId="3769CE41"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2</w:t>
            </w:r>
          </w:p>
        </w:tc>
        <w:tc>
          <w:tcPr>
            <w:tcW w:w="2411" w:type="dxa"/>
          </w:tcPr>
          <w:p w14:paraId="711A6E93"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6</w:t>
            </w:r>
          </w:p>
        </w:tc>
      </w:tr>
      <w:tr w:rsidR="00DE697C" w:rsidRPr="00DE697C" w14:paraId="5DDDB17F" w14:textId="77777777" w:rsidTr="00EA0153">
        <w:trPr>
          <w:trHeight w:val="119"/>
        </w:trPr>
        <w:tc>
          <w:tcPr>
            <w:tcW w:w="2065" w:type="dxa"/>
          </w:tcPr>
          <w:p w14:paraId="0A0F5564" w14:textId="423F5A51" w:rsidR="00DA6FE6" w:rsidRPr="00DE697C" w:rsidRDefault="00DA6FE6" w:rsidP="00DE697C">
            <w:pPr>
              <w:pStyle w:val="TableParagraph"/>
              <w:tabs>
                <w:tab w:val="left" w:pos="7513"/>
              </w:tabs>
              <w:ind w:right="95"/>
              <w:jc w:val="both"/>
              <w:rPr>
                <w:b/>
                <w:bCs/>
                <w:sz w:val="20"/>
                <w:szCs w:val="20"/>
              </w:rPr>
            </w:pPr>
            <w:r w:rsidRPr="00DE697C">
              <w:rPr>
                <w:rStyle w:val="rynqvb"/>
                <w:sz w:val="20"/>
                <w:szCs w:val="20"/>
                <w:lang w:val="en"/>
              </w:rPr>
              <w:t>No underlying injury</w:t>
            </w:r>
          </w:p>
        </w:tc>
        <w:tc>
          <w:tcPr>
            <w:tcW w:w="20" w:type="dxa"/>
          </w:tcPr>
          <w:p w14:paraId="094B91C8" w14:textId="77777777" w:rsidR="00DA6FE6" w:rsidRPr="00DE697C" w:rsidRDefault="00DA6FE6" w:rsidP="00DE697C">
            <w:pPr>
              <w:pStyle w:val="TableParagraph"/>
              <w:tabs>
                <w:tab w:val="left" w:pos="7513"/>
              </w:tabs>
              <w:ind w:right="95" w:firstLine="709"/>
              <w:jc w:val="both"/>
              <w:rPr>
                <w:sz w:val="20"/>
                <w:szCs w:val="20"/>
              </w:rPr>
            </w:pPr>
          </w:p>
        </w:tc>
        <w:tc>
          <w:tcPr>
            <w:tcW w:w="1556" w:type="dxa"/>
          </w:tcPr>
          <w:p w14:paraId="33245ED4"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4</w:t>
            </w:r>
          </w:p>
        </w:tc>
        <w:tc>
          <w:tcPr>
            <w:tcW w:w="1604" w:type="dxa"/>
          </w:tcPr>
          <w:p w14:paraId="1556B533" w14:textId="3F906544" w:rsidR="00DA6FE6" w:rsidRPr="00DE697C" w:rsidRDefault="00DA6FE6" w:rsidP="00DE697C">
            <w:pPr>
              <w:pStyle w:val="TableParagraph"/>
              <w:tabs>
                <w:tab w:val="left" w:pos="7513"/>
              </w:tabs>
              <w:ind w:right="95" w:firstLine="180"/>
              <w:jc w:val="both"/>
              <w:rPr>
                <w:sz w:val="20"/>
                <w:szCs w:val="20"/>
              </w:rPr>
            </w:pPr>
            <w:r w:rsidRPr="00DE697C">
              <w:rPr>
                <w:sz w:val="20"/>
                <w:szCs w:val="20"/>
              </w:rPr>
              <w:t>21.1</w:t>
            </w:r>
          </w:p>
        </w:tc>
        <w:tc>
          <w:tcPr>
            <w:tcW w:w="1275" w:type="dxa"/>
          </w:tcPr>
          <w:p w14:paraId="3A721243"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0</w:t>
            </w:r>
          </w:p>
        </w:tc>
        <w:tc>
          <w:tcPr>
            <w:tcW w:w="2411" w:type="dxa"/>
          </w:tcPr>
          <w:p w14:paraId="453358AD" w14:textId="77777777" w:rsidR="00DA6FE6" w:rsidRPr="00DE697C" w:rsidRDefault="00DA6FE6" w:rsidP="00DE697C">
            <w:pPr>
              <w:pStyle w:val="TableParagraph"/>
              <w:tabs>
                <w:tab w:val="left" w:pos="7513"/>
              </w:tabs>
              <w:ind w:right="95" w:firstLine="709"/>
              <w:jc w:val="both"/>
              <w:rPr>
                <w:sz w:val="20"/>
                <w:szCs w:val="20"/>
              </w:rPr>
            </w:pPr>
            <w:r w:rsidRPr="00DE697C">
              <w:rPr>
                <w:sz w:val="20"/>
                <w:szCs w:val="20"/>
              </w:rPr>
              <w:t>4</w:t>
            </w:r>
          </w:p>
        </w:tc>
      </w:tr>
      <w:tr w:rsidR="00DE697C" w:rsidRPr="00DE697C" w14:paraId="68323F60" w14:textId="77777777" w:rsidTr="00DE697C">
        <w:trPr>
          <w:trHeight w:val="70"/>
        </w:trPr>
        <w:tc>
          <w:tcPr>
            <w:tcW w:w="2065" w:type="dxa"/>
            <w:tcBorders>
              <w:top w:val="single" w:sz="4" w:space="0" w:color="000000"/>
              <w:bottom w:val="single" w:sz="4" w:space="0" w:color="7E7E7E"/>
            </w:tcBorders>
          </w:tcPr>
          <w:p w14:paraId="1CEF4E60" w14:textId="77777777" w:rsidR="00DA6FE6" w:rsidRPr="00DE697C" w:rsidRDefault="00DA6FE6" w:rsidP="00DE697C">
            <w:pPr>
              <w:pStyle w:val="TableParagraph"/>
              <w:tabs>
                <w:tab w:val="left" w:pos="7513"/>
              </w:tabs>
              <w:ind w:right="95"/>
              <w:jc w:val="both"/>
              <w:rPr>
                <w:b/>
                <w:sz w:val="20"/>
                <w:szCs w:val="20"/>
              </w:rPr>
            </w:pPr>
            <w:r w:rsidRPr="00DE697C">
              <w:rPr>
                <w:b/>
                <w:sz w:val="20"/>
                <w:szCs w:val="20"/>
              </w:rPr>
              <w:t>Jumlah</w:t>
            </w:r>
          </w:p>
        </w:tc>
        <w:tc>
          <w:tcPr>
            <w:tcW w:w="20" w:type="dxa"/>
            <w:tcBorders>
              <w:top w:val="single" w:sz="4" w:space="0" w:color="000000"/>
              <w:bottom w:val="single" w:sz="4" w:space="0" w:color="7E7E7E"/>
            </w:tcBorders>
          </w:tcPr>
          <w:p w14:paraId="239E684F" w14:textId="77777777" w:rsidR="00DA6FE6" w:rsidRPr="00DE697C" w:rsidRDefault="00DA6FE6" w:rsidP="00DE697C">
            <w:pPr>
              <w:pStyle w:val="TableParagraph"/>
              <w:tabs>
                <w:tab w:val="left" w:pos="7513"/>
              </w:tabs>
              <w:ind w:right="95" w:firstLine="709"/>
              <w:jc w:val="both"/>
              <w:rPr>
                <w:sz w:val="20"/>
                <w:szCs w:val="20"/>
              </w:rPr>
            </w:pPr>
          </w:p>
        </w:tc>
        <w:tc>
          <w:tcPr>
            <w:tcW w:w="1556" w:type="dxa"/>
            <w:tcBorders>
              <w:top w:val="single" w:sz="4" w:space="0" w:color="000000"/>
              <w:bottom w:val="single" w:sz="4" w:space="0" w:color="7E7E7E"/>
            </w:tcBorders>
          </w:tcPr>
          <w:p w14:paraId="0F14515B" w14:textId="77777777" w:rsidR="00DA6FE6" w:rsidRPr="00DE697C" w:rsidRDefault="00DA6FE6" w:rsidP="00DE697C">
            <w:pPr>
              <w:pStyle w:val="TableParagraph"/>
              <w:tabs>
                <w:tab w:val="left" w:pos="7513"/>
              </w:tabs>
              <w:ind w:right="95" w:firstLine="709"/>
              <w:jc w:val="both"/>
              <w:rPr>
                <w:b/>
                <w:sz w:val="20"/>
                <w:szCs w:val="20"/>
              </w:rPr>
            </w:pPr>
            <w:r w:rsidRPr="00DE697C">
              <w:rPr>
                <w:b/>
                <w:sz w:val="20"/>
                <w:szCs w:val="20"/>
              </w:rPr>
              <w:t>19</w:t>
            </w:r>
          </w:p>
        </w:tc>
        <w:tc>
          <w:tcPr>
            <w:tcW w:w="1604" w:type="dxa"/>
            <w:tcBorders>
              <w:top w:val="single" w:sz="4" w:space="0" w:color="000000"/>
              <w:bottom w:val="single" w:sz="4" w:space="0" w:color="7E7E7E"/>
            </w:tcBorders>
          </w:tcPr>
          <w:p w14:paraId="1981BB72" w14:textId="77777777" w:rsidR="00DA6FE6" w:rsidRPr="00DE697C" w:rsidRDefault="00DA6FE6" w:rsidP="00DE697C">
            <w:pPr>
              <w:pStyle w:val="TableParagraph"/>
              <w:tabs>
                <w:tab w:val="left" w:pos="7513"/>
              </w:tabs>
              <w:ind w:right="95" w:firstLine="180"/>
              <w:jc w:val="both"/>
              <w:rPr>
                <w:b/>
                <w:sz w:val="20"/>
                <w:szCs w:val="20"/>
              </w:rPr>
            </w:pPr>
            <w:r w:rsidRPr="00DE697C">
              <w:rPr>
                <w:b/>
                <w:sz w:val="20"/>
                <w:szCs w:val="20"/>
              </w:rPr>
              <w:t>100</w:t>
            </w:r>
          </w:p>
        </w:tc>
        <w:tc>
          <w:tcPr>
            <w:tcW w:w="1275" w:type="dxa"/>
            <w:tcBorders>
              <w:top w:val="single" w:sz="4" w:space="0" w:color="000000"/>
              <w:bottom w:val="single" w:sz="4" w:space="0" w:color="7E7E7E"/>
            </w:tcBorders>
          </w:tcPr>
          <w:p w14:paraId="2100BE69" w14:textId="77777777" w:rsidR="00DA6FE6" w:rsidRPr="00DE697C" w:rsidRDefault="00DA6FE6" w:rsidP="00DE697C">
            <w:pPr>
              <w:pStyle w:val="TableParagraph"/>
              <w:tabs>
                <w:tab w:val="left" w:pos="7513"/>
              </w:tabs>
              <w:ind w:right="95" w:firstLine="709"/>
              <w:jc w:val="both"/>
              <w:rPr>
                <w:b/>
                <w:sz w:val="20"/>
                <w:szCs w:val="20"/>
              </w:rPr>
            </w:pPr>
            <w:r w:rsidRPr="00DE697C">
              <w:rPr>
                <w:b/>
                <w:sz w:val="20"/>
                <w:szCs w:val="20"/>
              </w:rPr>
              <w:t>4</w:t>
            </w:r>
          </w:p>
        </w:tc>
        <w:tc>
          <w:tcPr>
            <w:tcW w:w="2411" w:type="dxa"/>
            <w:tcBorders>
              <w:top w:val="single" w:sz="4" w:space="0" w:color="000000"/>
              <w:bottom w:val="single" w:sz="4" w:space="0" w:color="7E7E7E"/>
            </w:tcBorders>
          </w:tcPr>
          <w:p w14:paraId="34958C40" w14:textId="77777777" w:rsidR="00DA6FE6" w:rsidRPr="00DE697C" w:rsidRDefault="00DA6FE6" w:rsidP="00DE697C">
            <w:pPr>
              <w:pStyle w:val="TableParagraph"/>
              <w:tabs>
                <w:tab w:val="left" w:pos="7513"/>
              </w:tabs>
              <w:ind w:right="95" w:firstLine="709"/>
              <w:jc w:val="both"/>
              <w:rPr>
                <w:b/>
                <w:sz w:val="20"/>
                <w:szCs w:val="20"/>
              </w:rPr>
            </w:pPr>
            <w:r w:rsidRPr="00DE697C">
              <w:rPr>
                <w:b/>
                <w:sz w:val="20"/>
                <w:szCs w:val="20"/>
              </w:rPr>
              <w:t>15</w:t>
            </w:r>
          </w:p>
        </w:tc>
      </w:tr>
    </w:tbl>
    <w:p w14:paraId="777CC3AE" w14:textId="77777777" w:rsidR="00DE697C" w:rsidRDefault="00DE697C" w:rsidP="00DE697C">
      <w:pPr>
        <w:tabs>
          <w:tab w:val="left" w:pos="717"/>
          <w:tab w:val="left" w:pos="7513"/>
        </w:tabs>
        <w:ind w:right="95"/>
        <w:jc w:val="both"/>
        <w:rPr>
          <w:sz w:val="24"/>
          <w:szCs w:val="24"/>
        </w:rPr>
      </w:pPr>
    </w:p>
    <w:p w14:paraId="165D4AB6" w14:textId="7302694C" w:rsidR="00B97535" w:rsidRDefault="00B97535" w:rsidP="00DE697C">
      <w:pPr>
        <w:tabs>
          <w:tab w:val="left" w:pos="717"/>
          <w:tab w:val="left" w:pos="7513"/>
        </w:tabs>
        <w:ind w:right="95" w:firstLine="426"/>
        <w:jc w:val="both"/>
        <w:rPr>
          <w:sz w:val="24"/>
          <w:szCs w:val="24"/>
        </w:rPr>
      </w:pPr>
      <w:r w:rsidRPr="00DE697C">
        <w:rPr>
          <w:sz w:val="24"/>
          <w:szCs w:val="24"/>
        </w:rPr>
        <w:t>Based on the conducted research</w:t>
      </w:r>
      <w:r w:rsidR="00D15337" w:rsidRPr="00DE697C">
        <w:rPr>
          <w:sz w:val="24"/>
          <w:szCs w:val="24"/>
        </w:rPr>
        <w:t>.</w:t>
      </w:r>
      <w:r w:rsidRPr="00DE697C">
        <w:rPr>
          <w:sz w:val="24"/>
          <w:szCs w:val="24"/>
        </w:rPr>
        <w:t xml:space="preserve"> the data revealed that the classification of traumatic optic neuropathy (TON) is divided into two types: indirect TON and direct TON. Indirect TON was identified as the most dominant classification</w:t>
      </w:r>
      <w:r w:rsidR="00D15337" w:rsidRPr="00DE697C">
        <w:rPr>
          <w:sz w:val="24"/>
          <w:szCs w:val="24"/>
        </w:rPr>
        <w:t>.</w:t>
      </w:r>
      <w:r w:rsidRPr="00DE697C">
        <w:rPr>
          <w:sz w:val="24"/>
          <w:szCs w:val="24"/>
        </w:rPr>
        <w:t xml:space="preserve"> with 15 cases</w:t>
      </w:r>
      <w:r w:rsidR="00D15337" w:rsidRPr="00DE697C">
        <w:rPr>
          <w:sz w:val="24"/>
          <w:szCs w:val="24"/>
        </w:rPr>
        <w:t>.</w:t>
      </w:r>
      <w:r w:rsidRPr="00DE697C">
        <w:rPr>
          <w:sz w:val="24"/>
          <w:szCs w:val="24"/>
        </w:rPr>
        <w:t xml:space="preserve"> representing 78.9% of the total study sample. On the other hand</w:t>
      </w:r>
      <w:r w:rsidR="00D15337" w:rsidRPr="00DE697C">
        <w:rPr>
          <w:sz w:val="24"/>
          <w:szCs w:val="24"/>
        </w:rPr>
        <w:t>.</w:t>
      </w:r>
      <w:r w:rsidRPr="00DE697C">
        <w:rPr>
          <w:sz w:val="24"/>
          <w:szCs w:val="24"/>
        </w:rPr>
        <w:t xml:space="preserve"> the direct TON classification showed a significantly lower number</w:t>
      </w:r>
      <w:r w:rsidR="00D15337" w:rsidRPr="00DE697C">
        <w:rPr>
          <w:sz w:val="24"/>
          <w:szCs w:val="24"/>
        </w:rPr>
        <w:t>.</w:t>
      </w:r>
      <w:r w:rsidRPr="00DE697C">
        <w:rPr>
          <w:sz w:val="24"/>
          <w:szCs w:val="24"/>
        </w:rPr>
        <w:t xml:space="preserve"> with 4 cases</w:t>
      </w:r>
      <w:r w:rsidR="00D15337" w:rsidRPr="00DE697C">
        <w:rPr>
          <w:sz w:val="24"/>
          <w:szCs w:val="24"/>
        </w:rPr>
        <w:t>.</w:t>
      </w:r>
      <w:r w:rsidRPr="00DE697C">
        <w:rPr>
          <w:sz w:val="24"/>
          <w:szCs w:val="24"/>
        </w:rPr>
        <w:t xml:space="preserve"> accounting for 21.1%.</w:t>
      </w:r>
      <w:r w:rsidR="00DE697C">
        <w:rPr>
          <w:sz w:val="24"/>
          <w:szCs w:val="24"/>
        </w:rPr>
        <w:t xml:space="preserve"> </w:t>
      </w:r>
      <w:r w:rsidRPr="00DE697C">
        <w:rPr>
          <w:sz w:val="24"/>
          <w:szCs w:val="24"/>
        </w:rPr>
        <w:t xml:space="preserve">This data highlights that indirect TON is the most frequently observed type of injury in patients with Traumatic Optic Neuropathy at RSUP Ngoerah Denpasar during the 2022–2023 period. This information provides valuable insight into the distribution patterns of injury classifications among diagnosed patients. The complete results regarding the traumatic characteristics of patients can be found in detail </w:t>
      </w:r>
      <w:r w:rsidR="00DE697C">
        <w:rPr>
          <w:sz w:val="24"/>
          <w:szCs w:val="24"/>
        </w:rPr>
        <w:t xml:space="preserve">in the following table </w:t>
      </w:r>
      <w:r w:rsidRPr="00DE697C">
        <w:rPr>
          <w:sz w:val="24"/>
          <w:szCs w:val="24"/>
        </w:rPr>
        <w:t>which presents the injury classification data from this study.</w:t>
      </w:r>
    </w:p>
    <w:p w14:paraId="658B9DAC" w14:textId="77777777" w:rsidR="00DE697C" w:rsidRPr="00DE697C" w:rsidRDefault="00DE697C" w:rsidP="00DE697C">
      <w:pPr>
        <w:tabs>
          <w:tab w:val="left" w:pos="717"/>
          <w:tab w:val="left" w:pos="7513"/>
        </w:tabs>
        <w:ind w:right="95" w:firstLine="426"/>
        <w:jc w:val="both"/>
        <w:rPr>
          <w:sz w:val="24"/>
          <w:szCs w:val="24"/>
        </w:rPr>
      </w:pPr>
    </w:p>
    <w:p w14:paraId="1407E590" w14:textId="63C30296" w:rsidR="00B97535" w:rsidRPr="00DE697C" w:rsidRDefault="00DE697C" w:rsidP="00DE697C">
      <w:pPr>
        <w:tabs>
          <w:tab w:val="left" w:pos="7513"/>
        </w:tabs>
        <w:ind w:left="1276" w:right="95" w:hanging="1276"/>
        <w:jc w:val="both"/>
        <w:rPr>
          <w:b/>
          <w:bCs/>
        </w:rPr>
      </w:pPr>
      <w:r>
        <w:rPr>
          <w:b/>
          <w:bCs/>
        </w:rPr>
        <w:t>Table</w:t>
      </w:r>
      <w:r w:rsidR="00B97535" w:rsidRPr="00DE697C">
        <w:rPr>
          <w:b/>
          <w:bCs/>
        </w:rPr>
        <w:t xml:space="preserve"> 6. </w:t>
      </w:r>
      <w:r>
        <w:rPr>
          <w:b/>
          <w:bCs/>
        </w:rPr>
        <w:tab/>
      </w:r>
      <w:r w:rsidR="00B97535" w:rsidRPr="00DE697C">
        <w:rPr>
          <w:b/>
          <w:bCs/>
        </w:rPr>
        <w:t xml:space="preserve">Characteristics of Traumatic Optic Neuropathy Patients Based on Classification types of Trauma at RSUP </w:t>
      </w:r>
      <w:r w:rsidR="005A79A8" w:rsidRPr="00DE697C">
        <w:rPr>
          <w:b/>
          <w:bCs/>
        </w:rPr>
        <w:t>Ngoerah</w:t>
      </w:r>
      <w:r w:rsidR="00B97535" w:rsidRPr="00DE697C">
        <w:rPr>
          <w:b/>
          <w:bCs/>
        </w:rPr>
        <w:t xml:space="preserve"> Denpasar in 2022–2023</w:t>
      </w:r>
    </w:p>
    <w:tbl>
      <w:tblPr>
        <w:tblW w:w="8931" w:type="dxa"/>
        <w:tblLayout w:type="fixed"/>
        <w:tblCellMar>
          <w:left w:w="0" w:type="dxa"/>
          <w:right w:w="0" w:type="dxa"/>
        </w:tblCellMar>
        <w:tblLook w:val="01E0" w:firstRow="1" w:lastRow="1" w:firstColumn="1" w:lastColumn="1" w:noHBand="0" w:noVBand="0"/>
      </w:tblPr>
      <w:tblGrid>
        <w:gridCol w:w="2838"/>
        <w:gridCol w:w="20"/>
        <w:gridCol w:w="2527"/>
        <w:gridCol w:w="3546"/>
      </w:tblGrid>
      <w:tr w:rsidR="00DE697C" w:rsidRPr="00DE697C" w14:paraId="32D0A551" w14:textId="77777777" w:rsidTr="00DE697C">
        <w:trPr>
          <w:trHeight w:val="70"/>
        </w:trPr>
        <w:tc>
          <w:tcPr>
            <w:tcW w:w="2838" w:type="dxa"/>
            <w:tcBorders>
              <w:top w:val="single" w:sz="4" w:space="0" w:color="7E7E7E"/>
              <w:bottom w:val="single" w:sz="4" w:space="0" w:color="000000"/>
            </w:tcBorders>
          </w:tcPr>
          <w:p w14:paraId="38DC83B3" w14:textId="19BF2434" w:rsidR="00FD2F1F" w:rsidRPr="00DE697C" w:rsidRDefault="00FD2F1F" w:rsidP="00DE697C">
            <w:pPr>
              <w:pStyle w:val="TableParagraph"/>
              <w:tabs>
                <w:tab w:val="left" w:pos="7513"/>
              </w:tabs>
              <w:ind w:right="95"/>
              <w:jc w:val="both"/>
              <w:rPr>
                <w:b/>
                <w:sz w:val="20"/>
                <w:szCs w:val="20"/>
              </w:rPr>
            </w:pPr>
            <w:r w:rsidRPr="00DE697C">
              <w:rPr>
                <w:b/>
                <w:sz w:val="20"/>
                <w:szCs w:val="20"/>
              </w:rPr>
              <w:t>Types of Trauma</w:t>
            </w:r>
          </w:p>
        </w:tc>
        <w:tc>
          <w:tcPr>
            <w:tcW w:w="20" w:type="dxa"/>
            <w:tcBorders>
              <w:top w:val="single" w:sz="4" w:space="0" w:color="7E7E7E"/>
              <w:bottom w:val="single" w:sz="4" w:space="0" w:color="000000"/>
            </w:tcBorders>
          </w:tcPr>
          <w:p w14:paraId="7EB54C2E" w14:textId="77777777" w:rsidR="00FD2F1F" w:rsidRPr="00DE697C" w:rsidRDefault="00FD2F1F" w:rsidP="00DE697C">
            <w:pPr>
              <w:pStyle w:val="TableParagraph"/>
              <w:tabs>
                <w:tab w:val="left" w:pos="7513"/>
              </w:tabs>
              <w:ind w:right="95"/>
              <w:jc w:val="both"/>
              <w:rPr>
                <w:sz w:val="20"/>
                <w:szCs w:val="20"/>
              </w:rPr>
            </w:pPr>
          </w:p>
        </w:tc>
        <w:tc>
          <w:tcPr>
            <w:tcW w:w="2527" w:type="dxa"/>
            <w:tcBorders>
              <w:top w:val="single" w:sz="4" w:space="0" w:color="7E7E7E"/>
              <w:bottom w:val="single" w:sz="4" w:space="0" w:color="000000"/>
            </w:tcBorders>
          </w:tcPr>
          <w:p w14:paraId="0C387EF8" w14:textId="523E3707" w:rsidR="00FD2F1F" w:rsidRPr="00DE697C" w:rsidRDefault="00FD2F1F" w:rsidP="00DE697C">
            <w:pPr>
              <w:pStyle w:val="TableParagraph"/>
              <w:tabs>
                <w:tab w:val="left" w:pos="7513"/>
              </w:tabs>
              <w:ind w:right="95"/>
              <w:jc w:val="both"/>
              <w:rPr>
                <w:b/>
                <w:sz w:val="20"/>
                <w:szCs w:val="20"/>
              </w:rPr>
            </w:pPr>
            <w:r w:rsidRPr="00DE697C">
              <w:rPr>
                <w:b/>
                <w:sz w:val="20"/>
                <w:szCs w:val="20"/>
              </w:rPr>
              <w:t>Frequency (N</w:t>
            </w:r>
            <w:r w:rsidRPr="00DE697C">
              <w:rPr>
                <w:b/>
                <w:spacing w:val="-3"/>
                <w:sz w:val="20"/>
                <w:szCs w:val="20"/>
              </w:rPr>
              <w:t xml:space="preserve"> </w:t>
            </w:r>
            <w:r w:rsidRPr="00DE697C">
              <w:rPr>
                <w:b/>
                <w:sz w:val="20"/>
                <w:szCs w:val="20"/>
              </w:rPr>
              <w:t>=</w:t>
            </w:r>
            <w:r w:rsidRPr="00DE697C">
              <w:rPr>
                <w:b/>
                <w:spacing w:val="-1"/>
                <w:sz w:val="20"/>
                <w:szCs w:val="20"/>
              </w:rPr>
              <w:t xml:space="preserve"> </w:t>
            </w:r>
            <w:r w:rsidRPr="00DE697C">
              <w:rPr>
                <w:b/>
                <w:sz w:val="20"/>
                <w:szCs w:val="20"/>
              </w:rPr>
              <w:t>19)</w:t>
            </w:r>
          </w:p>
        </w:tc>
        <w:tc>
          <w:tcPr>
            <w:tcW w:w="3546" w:type="dxa"/>
            <w:tcBorders>
              <w:top w:val="single" w:sz="4" w:space="0" w:color="7E7E7E"/>
              <w:bottom w:val="single" w:sz="4" w:space="0" w:color="000000"/>
            </w:tcBorders>
          </w:tcPr>
          <w:p w14:paraId="6E6BA61D" w14:textId="0B752A9F" w:rsidR="00FD2F1F" w:rsidRPr="00DE697C" w:rsidRDefault="00FD2F1F" w:rsidP="00DE697C">
            <w:pPr>
              <w:pStyle w:val="TableParagraph"/>
              <w:tabs>
                <w:tab w:val="left" w:pos="7513"/>
              </w:tabs>
              <w:ind w:right="95"/>
              <w:jc w:val="both"/>
              <w:rPr>
                <w:b/>
                <w:sz w:val="20"/>
                <w:szCs w:val="20"/>
              </w:rPr>
            </w:pPr>
            <w:r w:rsidRPr="00DE697C">
              <w:rPr>
                <w:rStyle w:val="rynqvb"/>
                <w:b/>
                <w:bCs/>
                <w:sz w:val="20"/>
                <w:szCs w:val="20"/>
                <w:lang w:val="en"/>
              </w:rPr>
              <w:t>Percentage</w:t>
            </w:r>
            <w:r w:rsidRPr="00DE697C">
              <w:rPr>
                <w:b/>
                <w:sz w:val="20"/>
                <w:szCs w:val="20"/>
              </w:rPr>
              <w:t xml:space="preserve"> (%)</w:t>
            </w:r>
          </w:p>
        </w:tc>
      </w:tr>
      <w:tr w:rsidR="00DE697C" w:rsidRPr="00DE697C" w14:paraId="14D826C2" w14:textId="77777777" w:rsidTr="00DE697C">
        <w:trPr>
          <w:trHeight w:val="70"/>
        </w:trPr>
        <w:tc>
          <w:tcPr>
            <w:tcW w:w="2838" w:type="dxa"/>
            <w:tcBorders>
              <w:top w:val="single" w:sz="4" w:space="0" w:color="000000"/>
            </w:tcBorders>
          </w:tcPr>
          <w:p w14:paraId="0962D4CB" w14:textId="77777777" w:rsidR="00FD2F1F" w:rsidRPr="00DE697C" w:rsidRDefault="00FD2F1F" w:rsidP="00DE697C">
            <w:pPr>
              <w:pStyle w:val="TableParagraph"/>
              <w:tabs>
                <w:tab w:val="left" w:pos="7513"/>
              </w:tabs>
              <w:ind w:right="95"/>
              <w:jc w:val="both"/>
              <w:rPr>
                <w:bCs/>
                <w:i/>
                <w:iCs/>
                <w:sz w:val="20"/>
                <w:szCs w:val="20"/>
              </w:rPr>
            </w:pPr>
            <w:r w:rsidRPr="00DE697C">
              <w:rPr>
                <w:bCs/>
                <w:i/>
                <w:iCs/>
                <w:sz w:val="20"/>
                <w:szCs w:val="20"/>
              </w:rPr>
              <w:t>Indirect</w:t>
            </w:r>
          </w:p>
        </w:tc>
        <w:tc>
          <w:tcPr>
            <w:tcW w:w="20" w:type="dxa"/>
            <w:tcBorders>
              <w:top w:val="single" w:sz="4" w:space="0" w:color="000000"/>
            </w:tcBorders>
          </w:tcPr>
          <w:p w14:paraId="2F8A2459" w14:textId="77777777" w:rsidR="00FD2F1F" w:rsidRPr="00DE697C" w:rsidRDefault="00FD2F1F" w:rsidP="00DE697C">
            <w:pPr>
              <w:pStyle w:val="TableParagraph"/>
              <w:tabs>
                <w:tab w:val="left" w:pos="7513"/>
              </w:tabs>
              <w:ind w:right="95"/>
              <w:jc w:val="both"/>
              <w:rPr>
                <w:sz w:val="20"/>
                <w:szCs w:val="20"/>
              </w:rPr>
            </w:pPr>
          </w:p>
        </w:tc>
        <w:tc>
          <w:tcPr>
            <w:tcW w:w="2527" w:type="dxa"/>
            <w:tcBorders>
              <w:top w:val="single" w:sz="4" w:space="0" w:color="000000"/>
            </w:tcBorders>
          </w:tcPr>
          <w:p w14:paraId="61A13170" w14:textId="77777777" w:rsidR="00FD2F1F" w:rsidRPr="00DE697C" w:rsidRDefault="00FD2F1F" w:rsidP="00DE697C">
            <w:pPr>
              <w:pStyle w:val="TableParagraph"/>
              <w:tabs>
                <w:tab w:val="left" w:pos="7513"/>
              </w:tabs>
              <w:ind w:right="95"/>
              <w:jc w:val="both"/>
              <w:rPr>
                <w:sz w:val="20"/>
                <w:szCs w:val="20"/>
              </w:rPr>
            </w:pPr>
            <w:r w:rsidRPr="00DE697C">
              <w:rPr>
                <w:sz w:val="20"/>
                <w:szCs w:val="20"/>
              </w:rPr>
              <w:t>15</w:t>
            </w:r>
          </w:p>
        </w:tc>
        <w:tc>
          <w:tcPr>
            <w:tcW w:w="3546" w:type="dxa"/>
            <w:tcBorders>
              <w:top w:val="single" w:sz="4" w:space="0" w:color="000000"/>
            </w:tcBorders>
          </w:tcPr>
          <w:p w14:paraId="7FF27DFC" w14:textId="5874DB09" w:rsidR="00FD2F1F" w:rsidRPr="00DE697C" w:rsidRDefault="00FD2F1F" w:rsidP="00DE697C">
            <w:pPr>
              <w:pStyle w:val="TableParagraph"/>
              <w:tabs>
                <w:tab w:val="left" w:pos="7513"/>
              </w:tabs>
              <w:ind w:right="95"/>
              <w:jc w:val="both"/>
              <w:rPr>
                <w:sz w:val="20"/>
                <w:szCs w:val="20"/>
              </w:rPr>
            </w:pPr>
            <w:r w:rsidRPr="00DE697C">
              <w:rPr>
                <w:sz w:val="20"/>
                <w:szCs w:val="20"/>
              </w:rPr>
              <w:t>78.9</w:t>
            </w:r>
          </w:p>
        </w:tc>
      </w:tr>
      <w:tr w:rsidR="00DE697C" w:rsidRPr="00DE697C" w14:paraId="7B89317A" w14:textId="77777777" w:rsidTr="00DE697C">
        <w:trPr>
          <w:trHeight w:val="80"/>
        </w:trPr>
        <w:tc>
          <w:tcPr>
            <w:tcW w:w="2838" w:type="dxa"/>
          </w:tcPr>
          <w:p w14:paraId="43539DD8" w14:textId="77777777" w:rsidR="00FD2F1F" w:rsidRPr="00DE697C" w:rsidRDefault="00FD2F1F" w:rsidP="00DE697C">
            <w:pPr>
              <w:pStyle w:val="TableParagraph"/>
              <w:tabs>
                <w:tab w:val="left" w:pos="7513"/>
              </w:tabs>
              <w:ind w:right="95"/>
              <w:jc w:val="both"/>
              <w:rPr>
                <w:bCs/>
                <w:i/>
                <w:iCs/>
                <w:sz w:val="20"/>
                <w:szCs w:val="20"/>
              </w:rPr>
            </w:pPr>
            <w:r w:rsidRPr="00DE697C">
              <w:rPr>
                <w:bCs/>
                <w:i/>
                <w:iCs/>
                <w:sz w:val="20"/>
                <w:szCs w:val="20"/>
              </w:rPr>
              <w:t xml:space="preserve">Direct  </w:t>
            </w:r>
          </w:p>
        </w:tc>
        <w:tc>
          <w:tcPr>
            <w:tcW w:w="20" w:type="dxa"/>
          </w:tcPr>
          <w:p w14:paraId="79DB383D" w14:textId="77777777" w:rsidR="00FD2F1F" w:rsidRPr="00DE697C" w:rsidRDefault="00FD2F1F" w:rsidP="00DE697C">
            <w:pPr>
              <w:pStyle w:val="TableParagraph"/>
              <w:tabs>
                <w:tab w:val="left" w:pos="7513"/>
              </w:tabs>
              <w:ind w:right="95"/>
              <w:jc w:val="both"/>
              <w:rPr>
                <w:sz w:val="20"/>
                <w:szCs w:val="20"/>
              </w:rPr>
            </w:pPr>
          </w:p>
        </w:tc>
        <w:tc>
          <w:tcPr>
            <w:tcW w:w="2527" w:type="dxa"/>
          </w:tcPr>
          <w:p w14:paraId="6A097504" w14:textId="77777777" w:rsidR="00FD2F1F" w:rsidRPr="00DE697C" w:rsidRDefault="00FD2F1F" w:rsidP="00DE697C">
            <w:pPr>
              <w:pStyle w:val="TableParagraph"/>
              <w:tabs>
                <w:tab w:val="left" w:pos="7513"/>
              </w:tabs>
              <w:ind w:right="95"/>
              <w:jc w:val="both"/>
              <w:rPr>
                <w:sz w:val="20"/>
                <w:szCs w:val="20"/>
              </w:rPr>
            </w:pPr>
            <w:r w:rsidRPr="00DE697C">
              <w:rPr>
                <w:sz w:val="20"/>
                <w:szCs w:val="20"/>
              </w:rPr>
              <w:t>4</w:t>
            </w:r>
          </w:p>
        </w:tc>
        <w:tc>
          <w:tcPr>
            <w:tcW w:w="3546" w:type="dxa"/>
          </w:tcPr>
          <w:p w14:paraId="07DB1A36" w14:textId="26568F88" w:rsidR="00FD2F1F" w:rsidRPr="00DE697C" w:rsidRDefault="00FD2F1F" w:rsidP="00DE697C">
            <w:pPr>
              <w:pStyle w:val="TableParagraph"/>
              <w:tabs>
                <w:tab w:val="left" w:pos="7513"/>
              </w:tabs>
              <w:ind w:right="95"/>
              <w:jc w:val="both"/>
              <w:rPr>
                <w:sz w:val="20"/>
                <w:szCs w:val="20"/>
              </w:rPr>
            </w:pPr>
            <w:r w:rsidRPr="00DE697C">
              <w:rPr>
                <w:sz w:val="20"/>
                <w:szCs w:val="20"/>
              </w:rPr>
              <w:t>21.1</w:t>
            </w:r>
          </w:p>
        </w:tc>
      </w:tr>
      <w:tr w:rsidR="00DE697C" w:rsidRPr="00DE697C" w14:paraId="4FF8F201" w14:textId="77777777" w:rsidTr="00DE697C">
        <w:trPr>
          <w:trHeight w:val="70"/>
        </w:trPr>
        <w:tc>
          <w:tcPr>
            <w:tcW w:w="2838" w:type="dxa"/>
            <w:tcBorders>
              <w:top w:val="single" w:sz="4" w:space="0" w:color="000000"/>
              <w:bottom w:val="single" w:sz="4" w:space="0" w:color="7E7E7E"/>
            </w:tcBorders>
          </w:tcPr>
          <w:p w14:paraId="593C076F" w14:textId="0FD1E110" w:rsidR="00FD2F1F" w:rsidRPr="00DE697C" w:rsidRDefault="00FD2F1F" w:rsidP="00DE697C">
            <w:pPr>
              <w:pStyle w:val="TableParagraph"/>
              <w:tabs>
                <w:tab w:val="left" w:pos="7513"/>
              </w:tabs>
              <w:ind w:right="95"/>
              <w:jc w:val="both"/>
              <w:rPr>
                <w:b/>
                <w:sz w:val="20"/>
                <w:szCs w:val="20"/>
              </w:rPr>
            </w:pPr>
            <w:r w:rsidRPr="00DE697C">
              <w:rPr>
                <w:b/>
                <w:sz w:val="20"/>
                <w:szCs w:val="20"/>
              </w:rPr>
              <w:t xml:space="preserve">Total </w:t>
            </w:r>
          </w:p>
        </w:tc>
        <w:tc>
          <w:tcPr>
            <w:tcW w:w="20" w:type="dxa"/>
            <w:tcBorders>
              <w:top w:val="single" w:sz="4" w:space="0" w:color="000000"/>
              <w:bottom w:val="single" w:sz="4" w:space="0" w:color="7E7E7E"/>
            </w:tcBorders>
          </w:tcPr>
          <w:p w14:paraId="6EF61FBD" w14:textId="77777777" w:rsidR="00FD2F1F" w:rsidRPr="00DE697C" w:rsidRDefault="00FD2F1F" w:rsidP="00DE697C">
            <w:pPr>
              <w:pStyle w:val="TableParagraph"/>
              <w:tabs>
                <w:tab w:val="left" w:pos="7513"/>
              </w:tabs>
              <w:ind w:right="95"/>
              <w:jc w:val="both"/>
              <w:rPr>
                <w:sz w:val="20"/>
                <w:szCs w:val="20"/>
              </w:rPr>
            </w:pPr>
          </w:p>
        </w:tc>
        <w:tc>
          <w:tcPr>
            <w:tcW w:w="2527" w:type="dxa"/>
            <w:tcBorders>
              <w:top w:val="single" w:sz="4" w:space="0" w:color="000000"/>
              <w:bottom w:val="single" w:sz="4" w:space="0" w:color="7E7E7E"/>
            </w:tcBorders>
          </w:tcPr>
          <w:p w14:paraId="732C7D82" w14:textId="77777777" w:rsidR="00FD2F1F" w:rsidRPr="00DE697C" w:rsidRDefault="00FD2F1F" w:rsidP="00DE697C">
            <w:pPr>
              <w:pStyle w:val="TableParagraph"/>
              <w:tabs>
                <w:tab w:val="left" w:pos="7513"/>
              </w:tabs>
              <w:ind w:right="95"/>
              <w:jc w:val="both"/>
              <w:rPr>
                <w:b/>
                <w:sz w:val="20"/>
                <w:szCs w:val="20"/>
              </w:rPr>
            </w:pPr>
            <w:r w:rsidRPr="00DE697C">
              <w:rPr>
                <w:b/>
                <w:sz w:val="20"/>
                <w:szCs w:val="20"/>
              </w:rPr>
              <w:t>19</w:t>
            </w:r>
          </w:p>
        </w:tc>
        <w:tc>
          <w:tcPr>
            <w:tcW w:w="3546" w:type="dxa"/>
            <w:tcBorders>
              <w:top w:val="single" w:sz="4" w:space="0" w:color="000000"/>
              <w:bottom w:val="single" w:sz="4" w:space="0" w:color="7E7E7E"/>
            </w:tcBorders>
          </w:tcPr>
          <w:p w14:paraId="0CD7DAFE" w14:textId="77777777" w:rsidR="00FD2F1F" w:rsidRPr="00DE697C" w:rsidRDefault="00FD2F1F" w:rsidP="00DE697C">
            <w:pPr>
              <w:pStyle w:val="TableParagraph"/>
              <w:tabs>
                <w:tab w:val="left" w:pos="7513"/>
              </w:tabs>
              <w:ind w:right="95"/>
              <w:jc w:val="both"/>
              <w:rPr>
                <w:b/>
                <w:sz w:val="20"/>
                <w:szCs w:val="20"/>
              </w:rPr>
            </w:pPr>
            <w:r w:rsidRPr="00DE697C">
              <w:rPr>
                <w:b/>
                <w:sz w:val="20"/>
                <w:szCs w:val="20"/>
              </w:rPr>
              <w:t>100</w:t>
            </w:r>
          </w:p>
        </w:tc>
      </w:tr>
    </w:tbl>
    <w:p w14:paraId="78C5F1AA" w14:textId="77777777" w:rsidR="00DE697C" w:rsidRDefault="00DE697C" w:rsidP="00DE697C">
      <w:pPr>
        <w:tabs>
          <w:tab w:val="left" w:pos="717"/>
          <w:tab w:val="left" w:pos="7513"/>
        </w:tabs>
        <w:ind w:right="95"/>
        <w:jc w:val="both"/>
        <w:rPr>
          <w:sz w:val="24"/>
          <w:szCs w:val="24"/>
        </w:rPr>
      </w:pPr>
    </w:p>
    <w:p w14:paraId="761C32AC" w14:textId="4456F165" w:rsidR="00B97535" w:rsidRPr="00DE697C" w:rsidRDefault="00B97535" w:rsidP="00DE697C">
      <w:pPr>
        <w:tabs>
          <w:tab w:val="left" w:pos="717"/>
          <w:tab w:val="left" w:pos="7513"/>
        </w:tabs>
        <w:ind w:right="95" w:firstLine="426"/>
        <w:jc w:val="both"/>
        <w:rPr>
          <w:sz w:val="24"/>
          <w:szCs w:val="24"/>
        </w:rPr>
      </w:pPr>
      <w:r w:rsidRPr="00DE697C">
        <w:rPr>
          <w:sz w:val="24"/>
          <w:szCs w:val="24"/>
        </w:rPr>
        <w:t>Based on the results of the study</w:t>
      </w:r>
      <w:r w:rsidR="00D15337" w:rsidRPr="00DE697C">
        <w:rPr>
          <w:sz w:val="24"/>
          <w:szCs w:val="24"/>
        </w:rPr>
        <w:t>.</w:t>
      </w:r>
      <w:r w:rsidRPr="00DE697C">
        <w:rPr>
          <w:sz w:val="24"/>
          <w:szCs w:val="24"/>
        </w:rPr>
        <w:t xml:space="preserve"> it was found that the most common cause of Traumatic Optic Neuropathy (TON) was traffic accidents</w:t>
      </w:r>
      <w:r w:rsidR="00D15337" w:rsidRPr="00DE697C">
        <w:rPr>
          <w:sz w:val="24"/>
          <w:szCs w:val="24"/>
        </w:rPr>
        <w:t>.</w:t>
      </w:r>
      <w:r w:rsidRPr="00DE697C">
        <w:rPr>
          <w:sz w:val="24"/>
          <w:szCs w:val="24"/>
        </w:rPr>
        <w:t xml:space="preserve"> ranking first with a total of 13 cases</w:t>
      </w:r>
      <w:r w:rsidR="00D15337" w:rsidRPr="00DE697C">
        <w:rPr>
          <w:sz w:val="24"/>
          <w:szCs w:val="24"/>
        </w:rPr>
        <w:t>.</w:t>
      </w:r>
      <w:r w:rsidRPr="00DE697C">
        <w:rPr>
          <w:sz w:val="24"/>
          <w:szCs w:val="24"/>
        </w:rPr>
        <w:t xml:space="preserve"> equivalent to 68.4% of all cases. Following this</w:t>
      </w:r>
      <w:r w:rsidR="00D15337" w:rsidRPr="00DE697C">
        <w:rPr>
          <w:sz w:val="24"/>
          <w:szCs w:val="24"/>
        </w:rPr>
        <w:t>.</w:t>
      </w:r>
      <w:r w:rsidRPr="00DE697C">
        <w:rPr>
          <w:sz w:val="24"/>
          <w:szCs w:val="24"/>
        </w:rPr>
        <w:t xml:space="preserve"> injuries caused by falls ranked second</w:t>
      </w:r>
      <w:r w:rsidR="00D15337" w:rsidRPr="00DE697C">
        <w:rPr>
          <w:sz w:val="24"/>
          <w:szCs w:val="24"/>
        </w:rPr>
        <w:t>.</w:t>
      </w:r>
      <w:r w:rsidRPr="00DE697C">
        <w:rPr>
          <w:sz w:val="24"/>
          <w:szCs w:val="24"/>
        </w:rPr>
        <w:t xml:space="preserve"> with 6 cases</w:t>
      </w:r>
      <w:r w:rsidR="00D15337" w:rsidRPr="00DE697C">
        <w:rPr>
          <w:sz w:val="24"/>
          <w:szCs w:val="24"/>
        </w:rPr>
        <w:t>.</w:t>
      </w:r>
      <w:r w:rsidRPr="00DE697C">
        <w:rPr>
          <w:sz w:val="24"/>
          <w:szCs w:val="24"/>
        </w:rPr>
        <w:t xml:space="preserve"> accounting for 31.6% of the total cases.For direct TON</w:t>
      </w:r>
      <w:r w:rsidR="00D15337" w:rsidRPr="00DE697C">
        <w:rPr>
          <w:sz w:val="24"/>
          <w:szCs w:val="24"/>
        </w:rPr>
        <w:t>.</w:t>
      </w:r>
      <w:r w:rsidRPr="00DE697C">
        <w:rPr>
          <w:sz w:val="24"/>
          <w:szCs w:val="24"/>
        </w:rPr>
        <w:t xml:space="preserve"> 3 cases were associated with traffic accidents</w:t>
      </w:r>
      <w:r w:rsidR="00D15337" w:rsidRPr="00DE697C">
        <w:rPr>
          <w:sz w:val="24"/>
          <w:szCs w:val="24"/>
        </w:rPr>
        <w:t>.</w:t>
      </w:r>
      <w:r w:rsidRPr="00DE697C">
        <w:rPr>
          <w:sz w:val="24"/>
          <w:szCs w:val="24"/>
        </w:rPr>
        <w:t xml:space="preserve"> and 1 case was related to falls. There were no cases caused by assaults during the study period. This data indicates that traffic accidents are the primary cause of Traumatic Optic Neuropathy</w:t>
      </w:r>
      <w:r w:rsidR="00D15337" w:rsidRPr="00DE697C">
        <w:rPr>
          <w:sz w:val="24"/>
          <w:szCs w:val="24"/>
        </w:rPr>
        <w:t>.</w:t>
      </w:r>
      <w:r w:rsidRPr="00DE697C">
        <w:rPr>
          <w:sz w:val="24"/>
          <w:szCs w:val="24"/>
        </w:rPr>
        <w:t xml:space="preserve"> followed by falls</w:t>
      </w:r>
      <w:r w:rsidR="00D15337" w:rsidRPr="00DE697C">
        <w:rPr>
          <w:sz w:val="24"/>
          <w:szCs w:val="24"/>
        </w:rPr>
        <w:t>.</w:t>
      </w:r>
      <w:r w:rsidRPr="00DE697C">
        <w:rPr>
          <w:sz w:val="24"/>
          <w:szCs w:val="24"/>
        </w:rPr>
        <w:t xml:space="preserve"> while assault-related injuries did not contribute to the incidence of this condition. The findings describing the characteristics based on the type of injury at RSUP Ngo</w:t>
      </w:r>
      <w:r w:rsidR="00DE697C">
        <w:rPr>
          <w:sz w:val="24"/>
          <w:szCs w:val="24"/>
        </w:rPr>
        <w:t>erah Denpasar for the 2022–2023.</w:t>
      </w:r>
    </w:p>
    <w:p w14:paraId="04E59CC6" w14:textId="77777777" w:rsidR="00FD2F1F" w:rsidRPr="00DE697C" w:rsidRDefault="00FD2F1F" w:rsidP="00DE697C">
      <w:pPr>
        <w:tabs>
          <w:tab w:val="left" w:pos="717"/>
          <w:tab w:val="left" w:pos="7513"/>
        </w:tabs>
        <w:ind w:right="95"/>
        <w:jc w:val="both"/>
        <w:rPr>
          <w:b/>
          <w:bCs/>
          <w:sz w:val="24"/>
          <w:szCs w:val="24"/>
        </w:rPr>
      </w:pPr>
    </w:p>
    <w:p w14:paraId="32D0F08A" w14:textId="1EA8867F" w:rsidR="00B97535" w:rsidRPr="00DE697C" w:rsidRDefault="00FD2F1F" w:rsidP="00DE697C">
      <w:pPr>
        <w:tabs>
          <w:tab w:val="left" w:pos="7513"/>
        </w:tabs>
        <w:ind w:left="1276" w:right="95" w:hanging="1276"/>
        <w:jc w:val="both"/>
        <w:rPr>
          <w:b/>
          <w:bCs/>
        </w:rPr>
      </w:pPr>
      <w:r w:rsidRPr="00DE697C">
        <w:rPr>
          <w:b/>
          <w:bCs/>
        </w:rPr>
        <w:t>Table</w:t>
      </w:r>
      <w:r w:rsidR="00B97535" w:rsidRPr="00DE697C">
        <w:rPr>
          <w:b/>
          <w:bCs/>
        </w:rPr>
        <w:t xml:space="preserve"> 7. </w:t>
      </w:r>
      <w:r w:rsidR="00DE697C">
        <w:rPr>
          <w:b/>
          <w:bCs/>
        </w:rPr>
        <w:tab/>
      </w:r>
      <w:r w:rsidR="00B97535" w:rsidRPr="00DE697C">
        <w:rPr>
          <w:b/>
          <w:bCs/>
        </w:rPr>
        <w:t xml:space="preserve">Characteristics of Traumatic Optic Neuropathy Patients Based on Mechanism of Trauma at RSUP </w:t>
      </w:r>
      <w:r w:rsidR="005A79A8" w:rsidRPr="00DE697C">
        <w:rPr>
          <w:b/>
          <w:bCs/>
        </w:rPr>
        <w:t>Ngoerah</w:t>
      </w:r>
      <w:r w:rsidR="00B97535" w:rsidRPr="00DE697C">
        <w:rPr>
          <w:b/>
          <w:bCs/>
        </w:rPr>
        <w:t xml:space="preserve"> Denpasar in 2022–2023</w:t>
      </w:r>
    </w:p>
    <w:tbl>
      <w:tblPr>
        <w:tblW w:w="8931" w:type="dxa"/>
        <w:tblLayout w:type="fixed"/>
        <w:tblCellMar>
          <w:left w:w="0" w:type="dxa"/>
          <w:right w:w="0" w:type="dxa"/>
        </w:tblCellMar>
        <w:tblLook w:val="01E0" w:firstRow="1" w:lastRow="1" w:firstColumn="1" w:lastColumn="1" w:noHBand="0" w:noVBand="0"/>
      </w:tblPr>
      <w:tblGrid>
        <w:gridCol w:w="1768"/>
        <w:gridCol w:w="20"/>
        <w:gridCol w:w="1756"/>
        <w:gridCol w:w="1701"/>
        <w:gridCol w:w="1134"/>
        <w:gridCol w:w="2552"/>
      </w:tblGrid>
      <w:tr w:rsidR="00DE697C" w:rsidRPr="00DE697C" w14:paraId="6E55D95E" w14:textId="77777777" w:rsidTr="00DE697C">
        <w:trPr>
          <w:trHeight w:val="417"/>
        </w:trPr>
        <w:tc>
          <w:tcPr>
            <w:tcW w:w="1768" w:type="dxa"/>
            <w:tcBorders>
              <w:top w:val="single" w:sz="4" w:space="0" w:color="7E7E7E"/>
              <w:bottom w:val="single" w:sz="4" w:space="0" w:color="000000"/>
            </w:tcBorders>
          </w:tcPr>
          <w:p w14:paraId="1457CCCD" w14:textId="2E4DA91E" w:rsidR="00FA660E" w:rsidRPr="00DE697C" w:rsidRDefault="00FA660E" w:rsidP="00DE697C">
            <w:pPr>
              <w:pStyle w:val="TableParagraph"/>
              <w:tabs>
                <w:tab w:val="left" w:pos="7513"/>
              </w:tabs>
              <w:ind w:right="95" w:hanging="6"/>
              <w:jc w:val="both"/>
              <w:rPr>
                <w:b/>
                <w:sz w:val="20"/>
                <w:szCs w:val="20"/>
              </w:rPr>
            </w:pPr>
            <w:r w:rsidRPr="00DE697C">
              <w:rPr>
                <w:b/>
                <w:sz w:val="20"/>
                <w:szCs w:val="20"/>
              </w:rPr>
              <w:t>Mechanism of Trauma</w:t>
            </w:r>
          </w:p>
        </w:tc>
        <w:tc>
          <w:tcPr>
            <w:tcW w:w="20" w:type="dxa"/>
            <w:tcBorders>
              <w:top w:val="single" w:sz="4" w:space="0" w:color="7E7E7E"/>
              <w:bottom w:val="single" w:sz="4" w:space="0" w:color="000000"/>
            </w:tcBorders>
          </w:tcPr>
          <w:p w14:paraId="07589E5B" w14:textId="77777777" w:rsidR="00FA660E" w:rsidRPr="00DE697C" w:rsidRDefault="00FA660E" w:rsidP="00DE697C">
            <w:pPr>
              <w:pStyle w:val="TableParagraph"/>
              <w:tabs>
                <w:tab w:val="left" w:pos="7513"/>
              </w:tabs>
              <w:ind w:right="95"/>
              <w:jc w:val="both"/>
              <w:rPr>
                <w:sz w:val="20"/>
                <w:szCs w:val="20"/>
              </w:rPr>
            </w:pPr>
          </w:p>
        </w:tc>
        <w:tc>
          <w:tcPr>
            <w:tcW w:w="1756" w:type="dxa"/>
            <w:tcBorders>
              <w:top w:val="single" w:sz="4" w:space="0" w:color="7E7E7E"/>
              <w:bottom w:val="single" w:sz="4" w:space="0" w:color="000000"/>
            </w:tcBorders>
          </w:tcPr>
          <w:p w14:paraId="70405EF9" w14:textId="7AC58D96" w:rsidR="00FA660E" w:rsidRPr="00DE697C" w:rsidRDefault="00FA660E" w:rsidP="00DE697C">
            <w:pPr>
              <w:pStyle w:val="TableParagraph"/>
              <w:tabs>
                <w:tab w:val="left" w:pos="7513"/>
              </w:tabs>
              <w:ind w:right="95"/>
              <w:jc w:val="both"/>
              <w:rPr>
                <w:b/>
                <w:sz w:val="20"/>
                <w:szCs w:val="20"/>
              </w:rPr>
            </w:pPr>
            <w:r w:rsidRPr="00DE697C">
              <w:rPr>
                <w:b/>
                <w:sz w:val="20"/>
                <w:szCs w:val="20"/>
              </w:rPr>
              <w:t>Frequency (N</w:t>
            </w:r>
            <w:r w:rsidRPr="00DE697C">
              <w:rPr>
                <w:b/>
                <w:spacing w:val="-3"/>
                <w:sz w:val="20"/>
                <w:szCs w:val="20"/>
              </w:rPr>
              <w:t xml:space="preserve"> </w:t>
            </w:r>
            <w:r w:rsidRPr="00DE697C">
              <w:rPr>
                <w:b/>
                <w:sz w:val="20"/>
                <w:szCs w:val="20"/>
              </w:rPr>
              <w:t>=</w:t>
            </w:r>
            <w:r w:rsidRPr="00DE697C">
              <w:rPr>
                <w:b/>
                <w:spacing w:val="-1"/>
                <w:sz w:val="20"/>
                <w:szCs w:val="20"/>
              </w:rPr>
              <w:t xml:space="preserve"> </w:t>
            </w:r>
            <w:r w:rsidRPr="00DE697C">
              <w:rPr>
                <w:b/>
                <w:sz w:val="20"/>
                <w:szCs w:val="20"/>
              </w:rPr>
              <w:t>19)</w:t>
            </w:r>
          </w:p>
        </w:tc>
        <w:tc>
          <w:tcPr>
            <w:tcW w:w="1701" w:type="dxa"/>
            <w:tcBorders>
              <w:top w:val="single" w:sz="4" w:space="0" w:color="7E7E7E"/>
              <w:bottom w:val="single" w:sz="4" w:space="0" w:color="000000"/>
            </w:tcBorders>
          </w:tcPr>
          <w:p w14:paraId="708867F9" w14:textId="2E21B0FB" w:rsidR="00FA660E" w:rsidRPr="00DE697C" w:rsidRDefault="00FA660E" w:rsidP="00DE697C">
            <w:pPr>
              <w:pStyle w:val="TableParagraph"/>
              <w:tabs>
                <w:tab w:val="left" w:pos="7513"/>
              </w:tabs>
              <w:ind w:right="95"/>
              <w:jc w:val="both"/>
              <w:rPr>
                <w:b/>
                <w:sz w:val="20"/>
                <w:szCs w:val="20"/>
              </w:rPr>
            </w:pPr>
            <w:r w:rsidRPr="00DE697C">
              <w:rPr>
                <w:rStyle w:val="rynqvb"/>
                <w:b/>
                <w:bCs/>
                <w:sz w:val="20"/>
                <w:szCs w:val="20"/>
                <w:lang w:val="en"/>
              </w:rPr>
              <w:t>Percentage</w:t>
            </w:r>
            <w:r w:rsidRPr="00DE697C">
              <w:rPr>
                <w:b/>
                <w:sz w:val="20"/>
                <w:szCs w:val="20"/>
              </w:rPr>
              <w:t xml:space="preserve"> (%)</w:t>
            </w:r>
          </w:p>
        </w:tc>
        <w:tc>
          <w:tcPr>
            <w:tcW w:w="1134" w:type="dxa"/>
            <w:tcBorders>
              <w:top w:val="single" w:sz="4" w:space="0" w:color="7E7E7E"/>
              <w:bottom w:val="single" w:sz="4" w:space="0" w:color="000000"/>
            </w:tcBorders>
          </w:tcPr>
          <w:p w14:paraId="5CD2B801" w14:textId="77777777" w:rsidR="00FA660E" w:rsidRPr="00DE697C" w:rsidRDefault="00FA660E" w:rsidP="00DE697C">
            <w:pPr>
              <w:pStyle w:val="TableParagraph"/>
              <w:tabs>
                <w:tab w:val="left" w:pos="7513"/>
              </w:tabs>
              <w:ind w:right="95" w:hanging="6"/>
              <w:jc w:val="both"/>
              <w:rPr>
                <w:b/>
                <w:sz w:val="20"/>
                <w:szCs w:val="20"/>
              </w:rPr>
            </w:pPr>
            <w:r w:rsidRPr="00DE697C">
              <w:rPr>
                <w:b/>
                <w:sz w:val="20"/>
                <w:szCs w:val="20"/>
              </w:rPr>
              <w:t>TON</w:t>
            </w:r>
          </w:p>
          <w:p w14:paraId="57C549F1" w14:textId="1AE9DD86" w:rsidR="00FA660E" w:rsidRPr="00DE697C" w:rsidRDefault="00FA660E" w:rsidP="00DE697C">
            <w:pPr>
              <w:pStyle w:val="TableParagraph"/>
              <w:tabs>
                <w:tab w:val="left" w:pos="7513"/>
              </w:tabs>
              <w:ind w:right="95"/>
              <w:jc w:val="both"/>
              <w:rPr>
                <w:b/>
                <w:sz w:val="20"/>
                <w:szCs w:val="20"/>
              </w:rPr>
            </w:pPr>
            <w:r w:rsidRPr="00DE697C">
              <w:rPr>
                <w:b/>
                <w:sz w:val="20"/>
                <w:szCs w:val="20"/>
              </w:rPr>
              <w:t xml:space="preserve">Direct </w:t>
            </w:r>
          </w:p>
        </w:tc>
        <w:tc>
          <w:tcPr>
            <w:tcW w:w="2552" w:type="dxa"/>
            <w:tcBorders>
              <w:top w:val="single" w:sz="4" w:space="0" w:color="7E7E7E"/>
              <w:bottom w:val="single" w:sz="4" w:space="0" w:color="000000"/>
            </w:tcBorders>
          </w:tcPr>
          <w:p w14:paraId="04610FF1" w14:textId="77777777" w:rsidR="00FA660E" w:rsidRPr="00DE697C" w:rsidRDefault="00FA660E" w:rsidP="00DE697C">
            <w:pPr>
              <w:pStyle w:val="TableParagraph"/>
              <w:tabs>
                <w:tab w:val="left" w:pos="7513"/>
              </w:tabs>
              <w:ind w:right="95" w:firstLine="370"/>
              <w:jc w:val="both"/>
              <w:rPr>
                <w:b/>
                <w:sz w:val="20"/>
                <w:szCs w:val="20"/>
              </w:rPr>
            </w:pPr>
            <w:r w:rsidRPr="00DE697C">
              <w:rPr>
                <w:b/>
                <w:sz w:val="20"/>
                <w:szCs w:val="20"/>
              </w:rPr>
              <w:t>TON</w:t>
            </w:r>
          </w:p>
          <w:p w14:paraId="47890371" w14:textId="1AAD5304" w:rsidR="00FA660E" w:rsidRPr="00DE697C" w:rsidRDefault="00FA660E" w:rsidP="00DE697C">
            <w:pPr>
              <w:pStyle w:val="TableParagraph"/>
              <w:tabs>
                <w:tab w:val="left" w:pos="7513"/>
              </w:tabs>
              <w:ind w:right="95"/>
              <w:jc w:val="both"/>
              <w:rPr>
                <w:b/>
                <w:sz w:val="20"/>
                <w:szCs w:val="20"/>
              </w:rPr>
            </w:pPr>
            <w:r w:rsidRPr="00DE697C">
              <w:rPr>
                <w:b/>
                <w:sz w:val="20"/>
                <w:szCs w:val="20"/>
              </w:rPr>
              <w:t xml:space="preserve">Indirect </w:t>
            </w:r>
          </w:p>
        </w:tc>
      </w:tr>
      <w:tr w:rsidR="00DE697C" w:rsidRPr="00DE697C" w14:paraId="3521DD8A" w14:textId="77777777" w:rsidTr="00DE697C">
        <w:trPr>
          <w:trHeight w:val="70"/>
        </w:trPr>
        <w:tc>
          <w:tcPr>
            <w:tcW w:w="1768" w:type="dxa"/>
            <w:tcBorders>
              <w:top w:val="single" w:sz="4" w:space="0" w:color="000000"/>
            </w:tcBorders>
          </w:tcPr>
          <w:p w14:paraId="62BAAE7A" w14:textId="0BCC0732" w:rsidR="00AA3600" w:rsidRPr="00DE697C" w:rsidRDefault="00AA3600" w:rsidP="00DE697C">
            <w:pPr>
              <w:pStyle w:val="TableParagraph"/>
              <w:tabs>
                <w:tab w:val="left" w:pos="7513"/>
              </w:tabs>
              <w:ind w:right="95" w:hanging="6"/>
              <w:jc w:val="both"/>
              <w:rPr>
                <w:bCs/>
                <w:sz w:val="20"/>
                <w:szCs w:val="20"/>
              </w:rPr>
            </w:pPr>
            <w:r w:rsidRPr="00DE697C">
              <w:rPr>
                <w:bCs/>
                <w:sz w:val="20"/>
                <w:szCs w:val="20"/>
              </w:rPr>
              <w:t xml:space="preserve">Accident traffic </w:t>
            </w:r>
          </w:p>
        </w:tc>
        <w:tc>
          <w:tcPr>
            <w:tcW w:w="20" w:type="dxa"/>
            <w:tcBorders>
              <w:top w:val="single" w:sz="4" w:space="0" w:color="000000"/>
            </w:tcBorders>
          </w:tcPr>
          <w:p w14:paraId="2EC4595C" w14:textId="77777777" w:rsidR="00AA3600" w:rsidRPr="00DE697C" w:rsidRDefault="00AA3600" w:rsidP="00DE697C">
            <w:pPr>
              <w:pStyle w:val="TableParagraph"/>
              <w:tabs>
                <w:tab w:val="left" w:pos="7513"/>
              </w:tabs>
              <w:ind w:right="95"/>
              <w:jc w:val="both"/>
              <w:rPr>
                <w:sz w:val="20"/>
                <w:szCs w:val="20"/>
              </w:rPr>
            </w:pPr>
          </w:p>
        </w:tc>
        <w:tc>
          <w:tcPr>
            <w:tcW w:w="1756" w:type="dxa"/>
            <w:tcBorders>
              <w:top w:val="single" w:sz="4" w:space="0" w:color="000000"/>
            </w:tcBorders>
          </w:tcPr>
          <w:p w14:paraId="3DA4EC7F" w14:textId="77777777" w:rsidR="00AA3600" w:rsidRPr="00DE697C" w:rsidRDefault="00AA3600" w:rsidP="00DE697C">
            <w:pPr>
              <w:pStyle w:val="TableParagraph"/>
              <w:tabs>
                <w:tab w:val="left" w:pos="7513"/>
              </w:tabs>
              <w:ind w:right="95"/>
              <w:jc w:val="both"/>
              <w:rPr>
                <w:sz w:val="20"/>
                <w:szCs w:val="20"/>
              </w:rPr>
            </w:pPr>
            <w:r w:rsidRPr="00DE697C">
              <w:rPr>
                <w:sz w:val="20"/>
                <w:szCs w:val="20"/>
              </w:rPr>
              <w:t>13</w:t>
            </w:r>
          </w:p>
        </w:tc>
        <w:tc>
          <w:tcPr>
            <w:tcW w:w="1701" w:type="dxa"/>
            <w:tcBorders>
              <w:top w:val="single" w:sz="4" w:space="0" w:color="000000"/>
            </w:tcBorders>
          </w:tcPr>
          <w:p w14:paraId="7B11A850" w14:textId="2F99CAC3" w:rsidR="00AA3600" w:rsidRPr="00DE697C" w:rsidRDefault="00AA3600" w:rsidP="00DE697C">
            <w:pPr>
              <w:pStyle w:val="TableParagraph"/>
              <w:tabs>
                <w:tab w:val="left" w:pos="7513"/>
              </w:tabs>
              <w:ind w:right="95"/>
              <w:jc w:val="both"/>
              <w:rPr>
                <w:sz w:val="20"/>
                <w:szCs w:val="20"/>
              </w:rPr>
            </w:pPr>
            <w:r w:rsidRPr="00DE697C">
              <w:rPr>
                <w:sz w:val="20"/>
                <w:szCs w:val="20"/>
              </w:rPr>
              <w:t>68</w:t>
            </w:r>
            <w:r w:rsidR="00584CD7" w:rsidRPr="00DE697C">
              <w:rPr>
                <w:sz w:val="20"/>
                <w:szCs w:val="20"/>
              </w:rPr>
              <w:t>.</w:t>
            </w:r>
            <w:r w:rsidRPr="00DE697C">
              <w:rPr>
                <w:sz w:val="20"/>
                <w:szCs w:val="20"/>
              </w:rPr>
              <w:t>4</w:t>
            </w:r>
          </w:p>
        </w:tc>
        <w:tc>
          <w:tcPr>
            <w:tcW w:w="1134" w:type="dxa"/>
            <w:tcBorders>
              <w:top w:val="single" w:sz="4" w:space="0" w:color="000000"/>
            </w:tcBorders>
          </w:tcPr>
          <w:p w14:paraId="6F72FFA5" w14:textId="77777777" w:rsidR="00AA3600" w:rsidRPr="00DE697C" w:rsidRDefault="00AA3600" w:rsidP="00DE697C">
            <w:pPr>
              <w:pStyle w:val="TableParagraph"/>
              <w:tabs>
                <w:tab w:val="left" w:pos="7513"/>
              </w:tabs>
              <w:ind w:right="95"/>
              <w:jc w:val="both"/>
              <w:rPr>
                <w:sz w:val="20"/>
                <w:szCs w:val="20"/>
              </w:rPr>
            </w:pPr>
            <w:r w:rsidRPr="00DE697C">
              <w:rPr>
                <w:sz w:val="20"/>
                <w:szCs w:val="20"/>
              </w:rPr>
              <w:t>3</w:t>
            </w:r>
          </w:p>
        </w:tc>
        <w:tc>
          <w:tcPr>
            <w:tcW w:w="2552" w:type="dxa"/>
            <w:tcBorders>
              <w:top w:val="single" w:sz="4" w:space="0" w:color="000000"/>
            </w:tcBorders>
          </w:tcPr>
          <w:p w14:paraId="29C63D13" w14:textId="77777777" w:rsidR="00AA3600" w:rsidRPr="00DE697C" w:rsidRDefault="00AA3600" w:rsidP="00DE697C">
            <w:pPr>
              <w:pStyle w:val="TableParagraph"/>
              <w:tabs>
                <w:tab w:val="left" w:pos="7513"/>
              </w:tabs>
              <w:ind w:right="95"/>
              <w:jc w:val="both"/>
              <w:rPr>
                <w:sz w:val="20"/>
                <w:szCs w:val="20"/>
              </w:rPr>
            </w:pPr>
            <w:r w:rsidRPr="00DE697C">
              <w:rPr>
                <w:sz w:val="20"/>
                <w:szCs w:val="20"/>
              </w:rPr>
              <w:t>10</w:t>
            </w:r>
          </w:p>
        </w:tc>
      </w:tr>
      <w:tr w:rsidR="00DE697C" w:rsidRPr="00DE697C" w14:paraId="6B0BDC58" w14:textId="77777777" w:rsidTr="00DE697C">
        <w:trPr>
          <w:trHeight w:val="418"/>
        </w:trPr>
        <w:tc>
          <w:tcPr>
            <w:tcW w:w="1768" w:type="dxa"/>
          </w:tcPr>
          <w:p w14:paraId="0C01486F" w14:textId="488EBDC3" w:rsidR="00AA3600" w:rsidRPr="00DE697C" w:rsidRDefault="00584CD7" w:rsidP="00DE697C">
            <w:pPr>
              <w:pStyle w:val="TableParagraph"/>
              <w:tabs>
                <w:tab w:val="left" w:pos="7513"/>
              </w:tabs>
              <w:ind w:right="95" w:hanging="6"/>
              <w:jc w:val="both"/>
              <w:rPr>
                <w:bCs/>
                <w:sz w:val="20"/>
                <w:szCs w:val="20"/>
              </w:rPr>
            </w:pPr>
            <w:r w:rsidRPr="00DE697C">
              <w:rPr>
                <w:bCs/>
                <w:sz w:val="20"/>
                <w:szCs w:val="20"/>
              </w:rPr>
              <w:t>Fall</w:t>
            </w:r>
          </w:p>
          <w:p w14:paraId="6639378A" w14:textId="311CFF06" w:rsidR="00AA3600" w:rsidRPr="00DE697C" w:rsidRDefault="00584CD7" w:rsidP="00DE697C">
            <w:pPr>
              <w:pStyle w:val="TableParagraph"/>
              <w:tabs>
                <w:tab w:val="left" w:pos="7513"/>
              </w:tabs>
              <w:ind w:right="95" w:hanging="6"/>
              <w:jc w:val="both"/>
              <w:rPr>
                <w:bCs/>
                <w:sz w:val="20"/>
                <w:szCs w:val="20"/>
              </w:rPr>
            </w:pPr>
            <w:r w:rsidRPr="00DE697C">
              <w:rPr>
                <w:bCs/>
                <w:sz w:val="20"/>
                <w:szCs w:val="20"/>
              </w:rPr>
              <w:t>Victim Assault</w:t>
            </w:r>
          </w:p>
        </w:tc>
        <w:tc>
          <w:tcPr>
            <w:tcW w:w="20" w:type="dxa"/>
          </w:tcPr>
          <w:p w14:paraId="3C149B8D" w14:textId="77777777" w:rsidR="00AA3600" w:rsidRPr="00DE697C" w:rsidRDefault="00AA3600" w:rsidP="00DE697C">
            <w:pPr>
              <w:pStyle w:val="TableParagraph"/>
              <w:tabs>
                <w:tab w:val="left" w:pos="7513"/>
              </w:tabs>
              <w:ind w:right="95"/>
              <w:jc w:val="both"/>
              <w:rPr>
                <w:sz w:val="20"/>
                <w:szCs w:val="20"/>
              </w:rPr>
            </w:pPr>
          </w:p>
        </w:tc>
        <w:tc>
          <w:tcPr>
            <w:tcW w:w="1756" w:type="dxa"/>
          </w:tcPr>
          <w:p w14:paraId="7DA031B5" w14:textId="77777777" w:rsidR="00AA3600" w:rsidRPr="00DE697C" w:rsidRDefault="00AA3600" w:rsidP="00DE697C">
            <w:pPr>
              <w:pStyle w:val="TableParagraph"/>
              <w:tabs>
                <w:tab w:val="left" w:pos="7513"/>
              </w:tabs>
              <w:ind w:right="95"/>
              <w:jc w:val="both"/>
              <w:rPr>
                <w:sz w:val="20"/>
                <w:szCs w:val="20"/>
              </w:rPr>
            </w:pPr>
            <w:r w:rsidRPr="00DE697C">
              <w:rPr>
                <w:sz w:val="20"/>
                <w:szCs w:val="20"/>
              </w:rPr>
              <w:t>6</w:t>
            </w:r>
          </w:p>
          <w:p w14:paraId="059FE385" w14:textId="77777777" w:rsidR="00AA3600" w:rsidRPr="00DE697C" w:rsidRDefault="00AA3600" w:rsidP="00DE697C">
            <w:pPr>
              <w:pStyle w:val="TableParagraph"/>
              <w:tabs>
                <w:tab w:val="left" w:pos="7513"/>
              </w:tabs>
              <w:ind w:right="95"/>
              <w:jc w:val="both"/>
              <w:rPr>
                <w:sz w:val="20"/>
                <w:szCs w:val="20"/>
              </w:rPr>
            </w:pPr>
            <w:r w:rsidRPr="00DE697C">
              <w:rPr>
                <w:sz w:val="20"/>
                <w:szCs w:val="20"/>
              </w:rPr>
              <w:t>0</w:t>
            </w:r>
          </w:p>
        </w:tc>
        <w:tc>
          <w:tcPr>
            <w:tcW w:w="1701" w:type="dxa"/>
          </w:tcPr>
          <w:p w14:paraId="61E8150B" w14:textId="54DB0CF7" w:rsidR="00AA3600" w:rsidRPr="00DE697C" w:rsidRDefault="00AA3600" w:rsidP="00DE697C">
            <w:pPr>
              <w:pStyle w:val="TableParagraph"/>
              <w:tabs>
                <w:tab w:val="left" w:pos="7513"/>
              </w:tabs>
              <w:ind w:right="95"/>
              <w:jc w:val="both"/>
              <w:rPr>
                <w:sz w:val="20"/>
                <w:szCs w:val="20"/>
              </w:rPr>
            </w:pPr>
            <w:r w:rsidRPr="00DE697C">
              <w:rPr>
                <w:sz w:val="20"/>
                <w:szCs w:val="20"/>
              </w:rPr>
              <w:t>31</w:t>
            </w:r>
            <w:r w:rsidR="00584CD7" w:rsidRPr="00DE697C">
              <w:rPr>
                <w:sz w:val="20"/>
                <w:szCs w:val="20"/>
              </w:rPr>
              <w:t>.</w:t>
            </w:r>
            <w:r w:rsidRPr="00DE697C">
              <w:rPr>
                <w:sz w:val="20"/>
                <w:szCs w:val="20"/>
              </w:rPr>
              <w:t>6</w:t>
            </w:r>
          </w:p>
          <w:p w14:paraId="1F7C3BE3" w14:textId="77777777" w:rsidR="00AA3600" w:rsidRPr="00DE697C" w:rsidRDefault="00AA3600" w:rsidP="00DE697C">
            <w:pPr>
              <w:pStyle w:val="TableParagraph"/>
              <w:tabs>
                <w:tab w:val="left" w:pos="7513"/>
              </w:tabs>
              <w:ind w:right="95"/>
              <w:jc w:val="both"/>
              <w:rPr>
                <w:sz w:val="20"/>
                <w:szCs w:val="20"/>
              </w:rPr>
            </w:pPr>
            <w:r w:rsidRPr="00DE697C">
              <w:rPr>
                <w:sz w:val="20"/>
                <w:szCs w:val="20"/>
              </w:rPr>
              <w:t>0</w:t>
            </w:r>
          </w:p>
        </w:tc>
        <w:tc>
          <w:tcPr>
            <w:tcW w:w="1134" w:type="dxa"/>
          </w:tcPr>
          <w:p w14:paraId="7C1234B9" w14:textId="77777777" w:rsidR="00AA3600" w:rsidRPr="00DE697C" w:rsidRDefault="00AA3600" w:rsidP="00DE697C">
            <w:pPr>
              <w:pStyle w:val="TableParagraph"/>
              <w:tabs>
                <w:tab w:val="left" w:pos="7513"/>
              </w:tabs>
              <w:ind w:right="95"/>
              <w:jc w:val="both"/>
              <w:rPr>
                <w:sz w:val="20"/>
                <w:szCs w:val="20"/>
              </w:rPr>
            </w:pPr>
            <w:r w:rsidRPr="00DE697C">
              <w:rPr>
                <w:sz w:val="20"/>
                <w:szCs w:val="20"/>
              </w:rPr>
              <w:t>1</w:t>
            </w:r>
          </w:p>
          <w:p w14:paraId="617DA56D" w14:textId="77777777" w:rsidR="00AA3600" w:rsidRPr="00DE697C" w:rsidRDefault="00AA3600" w:rsidP="00DE697C">
            <w:pPr>
              <w:pStyle w:val="TableParagraph"/>
              <w:tabs>
                <w:tab w:val="left" w:pos="7513"/>
              </w:tabs>
              <w:ind w:right="95"/>
              <w:jc w:val="both"/>
              <w:rPr>
                <w:sz w:val="20"/>
                <w:szCs w:val="20"/>
              </w:rPr>
            </w:pPr>
            <w:r w:rsidRPr="00DE697C">
              <w:rPr>
                <w:sz w:val="20"/>
                <w:szCs w:val="20"/>
              </w:rPr>
              <w:t>0</w:t>
            </w:r>
          </w:p>
        </w:tc>
        <w:tc>
          <w:tcPr>
            <w:tcW w:w="2552" w:type="dxa"/>
          </w:tcPr>
          <w:p w14:paraId="2C4028FB" w14:textId="77777777" w:rsidR="00AA3600" w:rsidRPr="00DE697C" w:rsidRDefault="00AA3600" w:rsidP="00DE697C">
            <w:pPr>
              <w:pStyle w:val="TableParagraph"/>
              <w:tabs>
                <w:tab w:val="left" w:pos="7513"/>
              </w:tabs>
              <w:ind w:right="95"/>
              <w:jc w:val="both"/>
              <w:rPr>
                <w:sz w:val="20"/>
                <w:szCs w:val="20"/>
              </w:rPr>
            </w:pPr>
            <w:r w:rsidRPr="00DE697C">
              <w:rPr>
                <w:sz w:val="20"/>
                <w:szCs w:val="20"/>
              </w:rPr>
              <w:t>5</w:t>
            </w:r>
          </w:p>
          <w:p w14:paraId="3470EB9E" w14:textId="77777777" w:rsidR="00AA3600" w:rsidRPr="00DE697C" w:rsidRDefault="00AA3600" w:rsidP="00DE697C">
            <w:pPr>
              <w:pStyle w:val="TableParagraph"/>
              <w:tabs>
                <w:tab w:val="left" w:pos="7513"/>
              </w:tabs>
              <w:ind w:right="95"/>
              <w:jc w:val="both"/>
              <w:rPr>
                <w:sz w:val="20"/>
                <w:szCs w:val="20"/>
              </w:rPr>
            </w:pPr>
            <w:r w:rsidRPr="00DE697C">
              <w:rPr>
                <w:sz w:val="20"/>
                <w:szCs w:val="20"/>
              </w:rPr>
              <w:t>0</w:t>
            </w:r>
          </w:p>
        </w:tc>
      </w:tr>
      <w:tr w:rsidR="00DE697C" w:rsidRPr="00DE697C" w14:paraId="7D61D08F" w14:textId="77777777" w:rsidTr="00DE697C">
        <w:trPr>
          <w:trHeight w:val="70"/>
        </w:trPr>
        <w:tc>
          <w:tcPr>
            <w:tcW w:w="1768" w:type="dxa"/>
            <w:tcBorders>
              <w:top w:val="single" w:sz="4" w:space="0" w:color="000000"/>
              <w:bottom w:val="single" w:sz="4" w:space="0" w:color="7E7E7E"/>
            </w:tcBorders>
          </w:tcPr>
          <w:p w14:paraId="411114E7" w14:textId="039ED57B" w:rsidR="00AA3600" w:rsidRPr="00DE697C" w:rsidRDefault="00FA660E" w:rsidP="00DE697C">
            <w:pPr>
              <w:pStyle w:val="TableParagraph"/>
              <w:tabs>
                <w:tab w:val="left" w:pos="7513"/>
              </w:tabs>
              <w:ind w:right="95" w:hanging="6"/>
              <w:jc w:val="both"/>
              <w:rPr>
                <w:b/>
                <w:sz w:val="20"/>
                <w:szCs w:val="20"/>
              </w:rPr>
            </w:pPr>
            <w:r w:rsidRPr="00DE697C">
              <w:rPr>
                <w:b/>
                <w:sz w:val="20"/>
                <w:szCs w:val="20"/>
              </w:rPr>
              <w:t>Total</w:t>
            </w:r>
          </w:p>
        </w:tc>
        <w:tc>
          <w:tcPr>
            <w:tcW w:w="20" w:type="dxa"/>
            <w:tcBorders>
              <w:top w:val="single" w:sz="4" w:space="0" w:color="000000"/>
              <w:bottom w:val="single" w:sz="4" w:space="0" w:color="7E7E7E"/>
            </w:tcBorders>
          </w:tcPr>
          <w:p w14:paraId="475BC233" w14:textId="77777777" w:rsidR="00AA3600" w:rsidRPr="00DE697C" w:rsidRDefault="00AA3600" w:rsidP="00DE697C">
            <w:pPr>
              <w:pStyle w:val="TableParagraph"/>
              <w:tabs>
                <w:tab w:val="left" w:pos="7513"/>
              </w:tabs>
              <w:ind w:right="95"/>
              <w:jc w:val="both"/>
              <w:rPr>
                <w:sz w:val="20"/>
                <w:szCs w:val="20"/>
              </w:rPr>
            </w:pPr>
          </w:p>
        </w:tc>
        <w:tc>
          <w:tcPr>
            <w:tcW w:w="1756" w:type="dxa"/>
            <w:tcBorders>
              <w:top w:val="single" w:sz="4" w:space="0" w:color="000000"/>
              <w:bottom w:val="single" w:sz="4" w:space="0" w:color="7E7E7E"/>
            </w:tcBorders>
          </w:tcPr>
          <w:p w14:paraId="26360807" w14:textId="77777777" w:rsidR="00AA3600" w:rsidRPr="00DE697C" w:rsidRDefault="00AA3600" w:rsidP="00DE697C">
            <w:pPr>
              <w:pStyle w:val="TableParagraph"/>
              <w:tabs>
                <w:tab w:val="left" w:pos="7513"/>
              </w:tabs>
              <w:ind w:right="95"/>
              <w:jc w:val="both"/>
              <w:rPr>
                <w:b/>
                <w:sz w:val="20"/>
                <w:szCs w:val="20"/>
              </w:rPr>
            </w:pPr>
            <w:r w:rsidRPr="00DE697C">
              <w:rPr>
                <w:b/>
                <w:sz w:val="20"/>
                <w:szCs w:val="20"/>
              </w:rPr>
              <w:t>19</w:t>
            </w:r>
          </w:p>
        </w:tc>
        <w:tc>
          <w:tcPr>
            <w:tcW w:w="1701" w:type="dxa"/>
            <w:tcBorders>
              <w:top w:val="single" w:sz="4" w:space="0" w:color="000000"/>
              <w:bottom w:val="single" w:sz="4" w:space="0" w:color="7E7E7E"/>
            </w:tcBorders>
          </w:tcPr>
          <w:p w14:paraId="01DEC4CC" w14:textId="77777777" w:rsidR="00AA3600" w:rsidRPr="00DE697C" w:rsidRDefault="00AA3600" w:rsidP="00DE697C">
            <w:pPr>
              <w:pStyle w:val="TableParagraph"/>
              <w:tabs>
                <w:tab w:val="left" w:pos="7513"/>
              </w:tabs>
              <w:ind w:right="95"/>
              <w:jc w:val="both"/>
              <w:rPr>
                <w:b/>
                <w:sz w:val="20"/>
                <w:szCs w:val="20"/>
              </w:rPr>
            </w:pPr>
            <w:r w:rsidRPr="00DE697C">
              <w:rPr>
                <w:b/>
                <w:sz w:val="20"/>
                <w:szCs w:val="20"/>
              </w:rPr>
              <w:t>100</w:t>
            </w:r>
          </w:p>
        </w:tc>
        <w:tc>
          <w:tcPr>
            <w:tcW w:w="1134" w:type="dxa"/>
            <w:tcBorders>
              <w:top w:val="single" w:sz="4" w:space="0" w:color="000000"/>
              <w:bottom w:val="single" w:sz="4" w:space="0" w:color="7E7E7E"/>
            </w:tcBorders>
          </w:tcPr>
          <w:p w14:paraId="5A3067D3" w14:textId="77777777" w:rsidR="00AA3600" w:rsidRPr="00DE697C" w:rsidRDefault="00AA3600" w:rsidP="00DE697C">
            <w:pPr>
              <w:pStyle w:val="TableParagraph"/>
              <w:tabs>
                <w:tab w:val="left" w:pos="7513"/>
              </w:tabs>
              <w:ind w:right="95"/>
              <w:jc w:val="both"/>
              <w:rPr>
                <w:b/>
                <w:sz w:val="20"/>
                <w:szCs w:val="20"/>
              </w:rPr>
            </w:pPr>
            <w:r w:rsidRPr="00DE697C">
              <w:rPr>
                <w:b/>
                <w:sz w:val="20"/>
                <w:szCs w:val="20"/>
              </w:rPr>
              <w:t>4</w:t>
            </w:r>
          </w:p>
        </w:tc>
        <w:tc>
          <w:tcPr>
            <w:tcW w:w="2552" w:type="dxa"/>
            <w:tcBorders>
              <w:top w:val="single" w:sz="4" w:space="0" w:color="000000"/>
              <w:bottom w:val="single" w:sz="4" w:space="0" w:color="7E7E7E"/>
            </w:tcBorders>
          </w:tcPr>
          <w:p w14:paraId="0E0BFFD2" w14:textId="77777777" w:rsidR="00AA3600" w:rsidRPr="00DE697C" w:rsidRDefault="00AA3600" w:rsidP="00DE697C">
            <w:pPr>
              <w:pStyle w:val="TableParagraph"/>
              <w:tabs>
                <w:tab w:val="left" w:pos="7513"/>
              </w:tabs>
              <w:ind w:right="95"/>
              <w:jc w:val="both"/>
              <w:rPr>
                <w:b/>
                <w:sz w:val="20"/>
                <w:szCs w:val="20"/>
              </w:rPr>
            </w:pPr>
            <w:r w:rsidRPr="00DE697C">
              <w:rPr>
                <w:b/>
                <w:sz w:val="20"/>
                <w:szCs w:val="20"/>
              </w:rPr>
              <w:t>15</w:t>
            </w:r>
          </w:p>
        </w:tc>
      </w:tr>
    </w:tbl>
    <w:p w14:paraId="24598327" w14:textId="3F8C8322" w:rsidR="007521C4" w:rsidRPr="00DE697C" w:rsidRDefault="007521C4" w:rsidP="00DE697C">
      <w:pPr>
        <w:pStyle w:val="BodyText"/>
        <w:tabs>
          <w:tab w:val="left" w:pos="7513"/>
        </w:tabs>
        <w:ind w:right="95" w:firstLine="426"/>
        <w:rPr>
          <w:sz w:val="24"/>
          <w:szCs w:val="24"/>
        </w:rPr>
      </w:pPr>
      <w:r w:rsidRPr="00DE697C">
        <w:rPr>
          <w:sz w:val="24"/>
          <w:szCs w:val="24"/>
        </w:rPr>
        <w:t>For treatment modalities</w:t>
      </w:r>
      <w:r w:rsidR="00D15337" w:rsidRPr="00DE697C">
        <w:rPr>
          <w:sz w:val="24"/>
          <w:szCs w:val="24"/>
        </w:rPr>
        <w:t>.</w:t>
      </w:r>
      <w:r w:rsidRPr="00DE697C">
        <w:rPr>
          <w:sz w:val="24"/>
          <w:szCs w:val="24"/>
        </w:rPr>
        <w:t xml:space="preserve"> surgical intervention was the most frequent (47.4%)</w:t>
      </w:r>
      <w:r w:rsidR="00D15337" w:rsidRPr="00DE697C">
        <w:rPr>
          <w:sz w:val="24"/>
          <w:szCs w:val="24"/>
        </w:rPr>
        <w:t>.</w:t>
      </w:r>
      <w:r w:rsidRPr="00DE697C">
        <w:rPr>
          <w:sz w:val="24"/>
          <w:szCs w:val="24"/>
        </w:rPr>
        <w:t xml:space="preserve"> followed by conservative management (26.3%). Combined surgery and steroid therapy were administered to 21.1% of patients.</w:t>
      </w:r>
    </w:p>
    <w:p w14:paraId="341BC197" w14:textId="77777777" w:rsidR="00FD2F1F" w:rsidRPr="00DE697C" w:rsidRDefault="00FD2F1F" w:rsidP="00DE697C">
      <w:pPr>
        <w:tabs>
          <w:tab w:val="left" w:pos="717"/>
          <w:tab w:val="left" w:pos="7513"/>
        </w:tabs>
        <w:ind w:right="95"/>
        <w:jc w:val="both"/>
        <w:rPr>
          <w:b/>
          <w:bCs/>
          <w:sz w:val="24"/>
          <w:szCs w:val="24"/>
        </w:rPr>
      </w:pPr>
    </w:p>
    <w:p w14:paraId="19093887" w14:textId="78493E9D" w:rsidR="00B97535" w:rsidRPr="00DE697C" w:rsidRDefault="00FD2F1F" w:rsidP="00DE697C">
      <w:pPr>
        <w:tabs>
          <w:tab w:val="left" w:pos="7513"/>
        </w:tabs>
        <w:ind w:left="1276" w:right="95" w:hanging="1276"/>
        <w:jc w:val="both"/>
        <w:rPr>
          <w:b/>
          <w:bCs/>
        </w:rPr>
      </w:pPr>
      <w:r w:rsidRPr="00DE697C">
        <w:rPr>
          <w:b/>
          <w:bCs/>
        </w:rPr>
        <w:t>Table</w:t>
      </w:r>
      <w:r w:rsidR="00B97535" w:rsidRPr="00DE697C">
        <w:rPr>
          <w:b/>
          <w:bCs/>
        </w:rPr>
        <w:t xml:space="preserve"> 8. </w:t>
      </w:r>
      <w:r w:rsidR="00DE697C">
        <w:rPr>
          <w:b/>
          <w:bCs/>
        </w:rPr>
        <w:tab/>
      </w:r>
      <w:r w:rsidR="00B97535" w:rsidRPr="00DE697C">
        <w:rPr>
          <w:b/>
          <w:bCs/>
        </w:rPr>
        <w:t xml:space="preserve">Characteristics of Traumatic Optic Neuropathy Patients Based on Treatment at RSUP </w:t>
      </w:r>
      <w:r w:rsidR="005A79A8" w:rsidRPr="00DE697C">
        <w:rPr>
          <w:b/>
          <w:bCs/>
        </w:rPr>
        <w:t>Ngoerah</w:t>
      </w:r>
      <w:r w:rsidR="00B97535" w:rsidRPr="00DE697C">
        <w:rPr>
          <w:b/>
          <w:bCs/>
        </w:rPr>
        <w:t xml:space="preserve"> Denpasar in 2022–2023</w:t>
      </w:r>
    </w:p>
    <w:p w14:paraId="11CA3FDA" w14:textId="0492F1A3" w:rsidR="00B97535" w:rsidRPr="00DE697C" w:rsidRDefault="00DE697C" w:rsidP="00DE697C">
      <w:pPr>
        <w:pStyle w:val="BodyText"/>
        <w:tabs>
          <w:tab w:val="left" w:pos="7513"/>
        </w:tabs>
        <w:ind w:right="95"/>
        <w:jc w:val="left"/>
        <w:rPr>
          <w:sz w:val="24"/>
          <w:szCs w:val="24"/>
        </w:rPr>
      </w:pPr>
      <w:r w:rsidRPr="00DE697C">
        <w:rPr>
          <w:noProof/>
          <w:sz w:val="24"/>
          <w:szCs w:val="24"/>
        </w:rPr>
        <w:drawing>
          <wp:inline distT="0" distB="0" distL="0" distR="0" wp14:anchorId="144CBEED" wp14:editId="5F45533A">
            <wp:extent cx="2743200" cy="1071880"/>
            <wp:effectExtent l="0" t="0" r="0" b="0"/>
            <wp:docPr id="5401693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69304" name="Picture 5401693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1071880"/>
                    </a:xfrm>
                    <a:prstGeom prst="rect">
                      <a:avLst/>
                    </a:prstGeom>
                  </pic:spPr>
                </pic:pic>
              </a:graphicData>
            </a:graphic>
          </wp:inline>
        </w:drawing>
      </w:r>
    </w:p>
    <w:tbl>
      <w:tblPr>
        <w:tblW w:w="8931" w:type="dxa"/>
        <w:tblLayout w:type="fixed"/>
        <w:tblCellMar>
          <w:left w:w="0" w:type="dxa"/>
          <w:right w:w="0" w:type="dxa"/>
        </w:tblCellMar>
        <w:tblLook w:val="01E0" w:firstRow="1" w:lastRow="1" w:firstColumn="1" w:lastColumn="1" w:noHBand="0" w:noVBand="0"/>
      </w:tblPr>
      <w:tblGrid>
        <w:gridCol w:w="1923"/>
        <w:gridCol w:w="278"/>
        <w:gridCol w:w="1713"/>
        <w:gridCol w:w="1271"/>
        <w:gridCol w:w="1271"/>
        <w:gridCol w:w="2475"/>
      </w:tblGrid>
      <w:tr w:rsidR="00DE697C" w:rsidRPr="00DE697C" w14:paraId="3810B3FC" w14:textId="77777777" w:rsidTr="00DE697C">
        <w:trPr>
          <w:trHeight w:val="437"/>
        </w:trPr>
        <w:tc>
          <w:tcPr>
            <w:tcW w:w="1923" w:type="dxa"/>
            <w:tcBorders>
              <w:top w:val="single" w:sz="4" w:space="0" w:color="7E7E7E"/>
              <w:bottom w:val="single" w:sz="4" w:space="0" w:color="000000"/>
            </w:tcBorders>
          </w:tcPr>
          <w:p w14:paraId="6F9DF2A4" w14:textId="1D670D6D" w:rsidR="001C588F" w:rsidRPr="00DE697C" w:rsidRDefault="001C588F" w:rsidP="00DE697C">
            <w:pPr>
              <w:pStyle w:val="TableParagraph"/>
              <w:tabs>
                <w:tab w:val="left" w:pos="7513"/>
              </w:tabs>
              <w:ind w:right="95"/>
              <w:jc w:val="both"/>
              <w:rPr>
                <w:b/>
                <w:sz w:val="20"/>
                <w:szCs w:val="20"/>
              </w:rPr>
            </w:pPr>
            <w:r w:rsidRPr="00DE697C">
              <w:rPr>
                <w:b/>
                <w:sz w:val="20"/>
                <w:szCs w:val="20"/>
              </w:rPr>
              <w:t>Mechanism of Trauma</w:t>
            </w:r>
          </w:p>
        </w:tc>
        <w:tc>
          <w:tcPr>
            <w:tcW w:w="278" w:type="dxa"/>
            <w:tcBorders>
              <w:top w:val="single" w:sz="4" w:space="0" w:color="7E7E7E"/>
              <w:bottom w:val="single" w:sz="4" w:space="0" w:color="000000"/>
            </w:tcBorders>
          </w:tcPr>
          <w:p w14:paraId="19727BC3" w14:textId="77777777" w:rsidR="001C588F" w:rsidRPr="00DE697C" w:rsidRDefault="001C588F" w:rsidP="00DE697C">
            <w:pPr>
              <w:pStyle w:val="TableParagraph"/>
              <w:tabs>
                <w:tab w:val="left" w:pos="7513"/>
              </w:tabs>
              <w:ind w:right="95" w:hanging="283"/>
              <w:jc w:val="both"/>
              <w:rPr>
                <w:sz w:val="20"/>
                <w:szCs w:val="20"/>
              </w:rPr>
            </w:pPr>
          </w:p>
        </w:tc>
        <w:tc>
          <w:tcPr>
            <w:tcW w:w="1713" w:type="dxa"/>
            <w:tcBorders>
              <w:top w:val="single" w:sz="4" w:space="0" w:color="7E7E7E"/>
              <w:bottom w:val="single" w:sz="4" w:space="0" w:color="000000"/>
            </w:tcBorders>
          </w:tcPr>
          <w:p w14:paraId="580296D2" w14:textId="254E1838" w:rsidR="001C588F" w:rsidRPr="00DE697C" w:rsidRDefault="001C588F" w:rsidP="00DE697C">
            <w:pPr>
              <w:pStyle w:val="TableParagraph"/>
              <w:tabs>
                <w:tab w:val="left" w:pos="7513"/>
              </w:tabs>
              <w:ind w:right="95"/>
              <w:jc w:val="both"/>
              <w:rPr>
                <w:b/>
                <w:sz w:val="20"/>
                <w:szCs w:val="20"/>
              </w:rPr>
            </w:pPr>
            <w:r w:rsidRPr="00DE697C">
              <w:rPr>
                <w:b/>
                <w:sz w:val="20"/>
                <w:szCs w:val="20"/>
              </w:rPr>
              <w:t>Frequency (N</w:t>
            </w:r>
            <w:r w:rsidRPr="00DE697C">
              <w:rPr>
                <w:b/>
                <w:spacing w:val="-3"/>
                <w:sz w:val="20"/>
                <w:szCs w:val="20"/>
              </w:rPr>
              <w:t xml:space="preserve"> </w:t>
            </w:r>
            <w:r w:rsidRPr="00DE697C">
              <w:rPr>
                <w:b/>
                <w:sz w:val="20"/>
                <w:szCs w:val="20"/>
              </w:rPr>
              <w:t>=</w:t>
            </w:r>
            <w:r w:rsidRPr="00DE697C">
              <w:rPr>
                <w:b/>
                <w:spacing w:val="-1"/>
                <w:sz w:val="20"/>
                <w:szCs w:val="20"/>
              </w:rPr>
              <w:t xml:space="preserve"> </w:t>
            </w:r>
            <w:r w:rsidRPr="00DE697C">
              <w:rPr>
                <w:b/>
                <w:sz w:val="20"/>
                <w:szCs w:val="20"/>
              </w:rPr>
              <w:t>19)</w:t>
            </w:r>
          </w:p>
        </w:tc>
        <w:tc>
          <w:tcPr>
            <w:tcW w:w="1271" w:type="dxa"/>
            <w:tcBorders>
              <w:top w:val="single" w:sz="4" w:space="0" w:color="7E7E7E"/>
              <w:bottom w:val="single" w:sz="4" w:space="0" w:color="000000"/>
            </w:tcBorders>
          </w:tcPr>
          <w:p w14:paraId="7660CBDB" w14:textId="6E1A5385" w:rsidR="001C588F" w:rsidRPr="00DE697C" w:rsidRDefault="001C588F" w:rsidP="00DE697C">
            <w:pPr>
              <w:pStyle w:val="TableParagraph"/>
              <w:tabs>
                <w:tab w:val="left" w:pos="7513"/>
              </w:tabs>
              <w:ind w:right="95"/>
              <w:jc w:val="both"/>
              <w:rPr>
                <w:b/>
                <w:sz w:val="20"/>
                <w:szCs w:val="20"/>
              </w:rPr>
            </w:pPr>
            <w:r w:rsidRPr="00DE697C">
              <w:rPr>
                <w:rStyle w:val="rynqvb"/>
                <w:b/>
                <w:bCs/>
                <w:sz w:val="20"/>
                <w:szCs w:val="20"/>
                <w:lang w:val="en"/>
              </w:rPr>
              <w:t>Percentage</w:t>
            </w:r>
            <w:r w:rsidRPr="00DE697C">
              <w:rPr>
                <w:b/>
                <w:sz w:val="20"/>
                <w:szCs w:val="20"/>
              </w:rPr>
              <w:t xml:space="preserve"> (%)</w:t>
            </w:r>
          </w:p>
        </w:tc>
        <w:tc>
          <w:tcPr>
            <w:tcW w:w="1271" w:type="dxa"/>
            <w:tcBorders>
              <w:top w:val="single" w:sz="4" w:space="0" w:color="7E7E7E"/>
              <w:bottom w:val="single" w:sz="4" w:space="0" w:color="000000"/>
            </w:tcBorders>
          </w:tcPr>
          <w:p w14:paraId="23753981" w14:textId="77777777" w:rsidR="001C588F" w:rsidRPr="00DE697C" w:rsidRDefault="001C588F" w:rsidP="00DE697C">
            <w:pPr>
              <w:pStyle w:val="TableParagraph"/>
              <w:tabs>
                <w:tab w:val="left" w:pos="7513"/>
              </w:tabs>
              <w:ind w:right="95" w:hanging="6"/>
              <w:jc w:val="both"/>
              <w:rPr>
                <w:b/>
                <w:sz w:val="20"/>
                <w:szCs w:val="20"/>
              </w:rPr>
            </w:pPr>
            <w:r w:rsidRPr="00DE697C">
              <w:rPr>
                <w:b/>
                <w:sz w:val="20"/>
                <w:szCs w:val="20"/>
              </w:rPr>
              <w:t>TON</w:t>
            </w:r>
          </w:p>
          <w:p w14:paraId="2171C018" w14:textId="632BE115" w:rsidR="001C588F" w:rsidRPr="00DE697C" w:rsidRDefault="001C588F" w:rsidP="00DE697C">
            <w:pPr>
              <w:pStyle w:val="TableParagraph"/>
              <w:tabs>
                <w:tab w:val="left" w:pos="7513"/>
              </w:tabs>
              <w:ind w:right="95"/>
              <w:jc w:val="both"/>
              <w:rPr>
                <w:b/>
                <w:sz w:val="20"/>
                <w:szCs w:val="20"/>
              </w:rPr>
            </w:pPr>
            <w:r w:rsidRPr="00DE697C">
              <w:rPr>
                <w:b/>
                <w:sz w:val="20"/>
                <w:szCs w:val="20"/>
              </w:rPr>
              <w:t xml:space="preserve">Direct </w:t>
            </w:r>
          </w:p>
        </w:tc>
        <w:tc>
          <w:tcPr>
            <w:tcW w:w="2475" w:type="dxa"/>
            <w:tcBorders>
              <w:top w:val="single" w:sz="4" w:space="0" w:color="7E7E7E"/>
              <w:bottom w:val="single" w:sz="4" w:space="0" w:color="000000"/>
            </w:tcBorders>
          </w:tcPr>
          <w:p w14:paraId="71843753" w14:textId="77777777" w:rsidR="001C588F" w:rsidRPr="00DE697C" w:rsidRDefault="001C588F" w:rsidP="00DE697C">
            <w:pPr>
              <w:pStyle w:val="TableParagraph"/>
              <w:tabs>
                <w:tab w:val="left" w:pos="7513"/>
              </w:tabs>
              <w:ind w:right="95" w:hanging="26"/>
              <w:jc w:val="both"/>
              <w:rPr>
                <w:b/>
                <w:sz w:val="20"/>
                <w:szCs w:val="20"/>
              </w:rPr>
            </w:pPr>
            <w:r w:rsidRPr="00DE697C">
              <w:rPr>
                <w:b/>
                <w:sz w:val="20"/>
                <w:szCs w:val="20"/>
              </w:rPr>
              <w:t>TON</w:t>
            </w:r>
          </w:p>
          <w:p w14:paraId="5A34D65E" w14:textId="784B5373" w:rsidR="001C588F" w:rsidRPr="00DE697C" w:rsidRDefault="001C588F" w:rsidP="00DE697C">
            <w:pPr>
              <w:pStyle w:val="TableParagraph"/>
              <w:tabs>
                <w:tab w:val="left" w:pos="7513"/>
              </w:tabs>
              <w:ind w:right="95" w:hanging="26"/>
              <w:jc w:val="both"/>
              <w:rPr>
                <w:b/>
                <w:sz w:val="20"/>
                <w:szCs w:val="20"/>
              </w:rPr>
            </w:pPr>
            <w:r w:rsidRPr="00DE697C">
              <w:rPr>
                <w:b/>
                <w:sz w:val="20"/>
                <w:szCs w:val="20"/>
              </w:rPr>
              <w:t xml:space="preserve">Indirect </w:t>
            </w:r>
          </w:p>
        </w:tc>
      </w:tr>
      <w:tr w:rsidR="00DE697C" w:rsidRPr="00DE697C" w14:paraId="0152B9E4" w14:textId="77777777" w:rsidTr="00DE697C">
        <w:trPr>
          <w:trHeight w:val="1109"/>
        </w:trPr>
        <w:tc>
          <w:tcPr>
            <w:tcW w:w="1923" w:type="dxa"/>
            <w:tcBorders>
              <w:top w:val="single" w:sz="4" w:space="0" w:color="000000"/>
            </w:tcBorders>
          </w:tcPr>
          <w:p w14:paraId="73D58A3C" w14:textId="3AD32C8A" w:rsidR="001C588F" w:rsidRPr="00DE697C" w:rsidRDefault="00111A74" w:rsidP="00DE697C">
            <w:pPr>
              <w:pStyle w:val="TableParagraph"/>
              <w:tabs>
                <w:tab w:val="left" w:pos="7513"/>
              </w:tabs>
              <w:ind w:right="95"/>
              <w:jc w:val="both"/>
              <w:rPr>
                <w:bCs/>
                <w:sz w:val="20"/>
                <w:szCs w:val="20"/>
              </w:rPr>
            </w:pPr>
            <w:r w:rsidRPr="00DE697C">
              <w:rPr>
                <w:bCs/>
                <w:sz w:val="20"/>
                <w:szCs w:val="20"/>
              </w:rPr>
              <w:t>Conservative</w:t>
            </w:r>
          </w:p>
          <w:p w14:paraId="622508C5" w14:textId="20338BF0" w:rsidR="001C588F" w:rsidRPr="00DE697C" w:rsidRDefault="001C588F" w:rsidP="00DE697C">
            <w:pPr>
              <w:pStyle w:val="TableParagraph"/>
              <w:tabs>
                <w:tab w:val="left" w:pos="7513"/>
              </w:tabs>
              <w:ind w:right="95"/>
              <w:jc w:val="both"/>
              <w:rPr>
                <w:bCs/>
                <w:sz w:val="20"/>
                <w:szCs w:val="20"/>
              </w:rPr>
            </w:pPr>
            <w:r w:rsidRPr="00DE697C">
              <w:rPr>
                <w:bCs/>
                <w:sz w:val="20"/>
                <w:szCs w:val="20"/>
              </w:rPr>
              <w:t>Surgery</w:t>
            </w:r>
          </w:p>
          <w:p w14:paraId="41CE59D7" w14:textId="77777777" w:rsidR="001C588F" w:rsidRPr="00DE697C" w:rsidRDefault="001C588F" w:rsidP="00DE697C">
            <w:pPr>
              <w:pStyle w:val="TableParagraph"/>
              <w:tabs>
                <w:tab w:val="left" w:pos="7513"/>
              </w:tabs>
              <w:ind w:right="95"/>
              <w:jc w:val="both"/>
              <w:rPr>
                <w:bCs/>
                <w:sz w:val="20"/>
                <w:szCs w:val="20"/>
              </w:rPr>
            </w:pPr>
            <w:r w:rsidRPr="00DE697C">
              <w:rPr>
                <w:bCs/>
                <w:sz w:val="20"/>
                <w:szCs w:val="20"/>
              </w:rPr>
              <w:t>Steroid</w:t>
            </w:r>
          </w:p>
          <w:p w14:paraId="245952A4" w14:textId="43D74CB9" w:rsidR="001C588F" w:rsidRPr="00DE697C" w:rsidRDefault="00111A74" w:rsidP="00DE697C">
            <w:pPr>
              <w:pStyle w:val="TableParagraph"/>
              <w:tabs>
                <w:tab w:val="left" w:pos="7513"/>
              </w:tabs>
              <w:ind w:right="95"/>
              <w:jc w:val="both"/>
              <w:rPr>
                <w:b/>
                <w:bCs/>
                <w:sz w:val="20"/>
                <w:szCs w:val="20"/>
              </w:rPr>
            </w:pPr>
            <w:r w:rsidRPr="00DE697C">
              <w:rPr>
                <w:bCs/>
                <w:sz w:val="20"/>
                <w:szCs w:val="20"/>
              </w:rPr>
              <w:t>Combination of surgery and steroids</w:t>
            </w:r>
          </w:p>
        </w:tc>
        <w:tc>
          <w:tcPr>
            <w:tcW w:w="278" w:type="dxa"/>
            <w:tcBorders>
              <w:top w:val="single" w:sz="4" w:space="0" w:color="000000"/>
            </w:tcBorders>
          </w:tcPr>
          <w:p w14:paraId="11C426A3" w14:textId="77777777" w:rsidR="001C588F" w:rsidRPr="00DE697C" w:rsidRDefault="001C588F" w:rsidP="00DE697C">
            <w:pPr>
              <w:pStyle w:val="TableParagraph"/>
              <w:tabs>
                <w:tab w:val="left" w:pos="7513"/>
              </w:tabs>
              <w:ind w:right="95"/>
              <w:jc w:val="both"/>
              <w:rPr>
                <w:sz w:val="20"/>
                <w:szCs w:val="20"/>
              </w:rPr>
            </w:pPr>
          </w:p>
        </w:tc>
        <w:tc>
          <w:tcPr>
            <w:tcW w:w="1713" w:type="dxa"/>
            <w:tcBorders>
              <w:top w:val="single" w:sz="4" w:space="0" w:color="000000"/>
            </w:tcBorders>
          </w:tcPr>
          <w:p w14:paraId="2D0AF283" w14:textId="77777777" w:rsidR="001C588F" w:rsidRPr="00DE697C" w:rsidRDefault="001C588F" w:rsidP="00DE697C">
            <w:pPr>
              <w:pStyle w:val="TableParagraph"/>
              <w:tabs>
                <w:tab w:val="left" w:pos="7513"/>
              </w:tabs>
              <w:ind w:right="95"/>
              <w:jc w:val="both"/>
              <w:rPr>
                <w:sz w:val="20"/>
                <w:szCs w:val="20"/>
              </w:rPr>
            </w:pPr>
            <w:r w:rsidRPr="00DE697C">
              <w:rPr>
                <w:sz w:val="20"/>
                <w:szCs w:val="20"/>
              </w:rPr>
              <w:t>5</w:t>
            </w:r>
          </w:p>
          <w:p w14:paraId="18066761" w14:textId="77777777" w:rsidR="001C588F" w:rsidRPr="00DE697C" w:rsidRDefault="001C588F" w:rsidP="00DE697C">
            <w:pPr>
              <w:pStyle w:val="TableParagraph"/>
              <w:tabs>
                <w:tab w:val="left" w:pos="7513"/>
              </w:tabs>
              <w:ind w:right="95"/>
              <w:jc w:val="both"/>
              <w:rPr>
                <w:sz w:val="20"/>
                <w:szCs w:val="20"/>
              </w:rPr>
            </w:pPr>
            <w:r w:rsidRPr="00DE697C">
              <w:rPr>
                <w:sz w:val="20"/>
                <w:szCs w:val="20"/>
              </w:rPr>
              <w:t>9</w:t>
            </w:r>
          </w:p>
          <w:p w14:paraId="48B8BB45" w14:textId="77777777" w:rsidR="001C588F" w:rsidRPr="00DE697C" w:rsidRDefault="001C588F" w:rsidP="00DE697C">
            <w:pPr>
              <w:pStyle w:val="TableParagraph"/>
              <w:tabs>
                <w:tab w:val="left" w:pos="7513"/>
              </w:tabs>
              <w:ind w:right="95"/>
              <w:jc w:val="both"/>
              <w:rPr>
                <w:sz w:val="20"/>
                <w:szCs w:val="20"/>
              </w:rPr>
            </w:pPr>
            <w:r w:rsidRPr="00DE697C">
              <w:rPr>
                <w:sz w:val="20"/>
                <w:szCs w:val="20"/>
              </w:rPr>
              <w:t>1</w:t>
            </w:r>
          </w:p>
          <w:p w14:paraId="71F52765" w14:textId="77777777" w:rsidR="001C588F" w:rsidRPr="00DE697C" w:rsidRDefault="001C588F" w:rsidP="00DE697C">
            <w:pPr>
              <w:pStyle w:val="TableParagraph"/>
              <w:tabs>
                <w:tab w:val="left" w:pos="7513"/>
              </w:tabs>
              <w:ind w:right="95"/>
              <w:jc w:val="both"/>
              <w:rPr>
                <w:sz w:val="20"/>
                <w:szCs w:val="20"/>
              </w:rPr>
            </w:pPr>
          </w:p>
          <w:p w14:paraId="64F54C05" w14:textId="77777777" w:rsidR="001C588F" w:rsidRPr="00DE697C" w:rsidRDefault="001C588F" w:rsidP="00DE697C">
            <w:pPr>
              <w:pStyle w:val="TableParagraph"/>
              <w:tabs>
                <w:tab w:val="left" w:pos="7513"/>
              </w:tabs>
              <w:ind w:right="95"/>
              <w:jc w:val="both"/>
              <w:rPr>
                <w:sz w:val="20"/>
                <w:szCs w:val="20"/>
              </w:rPr>
            </w:pPr>
            <w:r w:rsidRPr="00DE697C">
              <w:rPr>
                <w:sz w:val="20"/>
                <w:szCs w:val="20"/>
              </w:rPr>
              <w:t>4</w:t>
            </w:r>
          </w:p>
        </w:tc>
        <w:tc>
          <w:tcPr>
            <w:tcW w:w="1271" w:type="dxa"/>
            <w:tcBorders>
              <w:top w:val="single" w:sz="4" w:space="0" w:color="000000"/>
            </w:tcBorders>
          </w:tcPr>
          <w:p w14:paraId="31723F19" w14:textId="77777777" w:rsidR="001C588F" w:rsidRPr="00DE697C" w:rsidRDefault="001C588F" w:rsidP="00DE697C">
            <w:pPr>
              <w:pStyle w:val="TableParagraph"/>
              <w:tabs>
                <w:tab w:val="left" w:pos="7513"/>
              </w:tabs>
              <w:ind w:right="95"/>
              <w:jc w:val="both"/>
              <w:rPr>
                <w:sz w:val="20"/>
                <w:szCs w:val="20"/>
              </w:rPr>
            </w:pPr>
            <w:r w:rsidRPr="00DE697C">
              <w:rPr>
                <w:sz w:val="20"/>
                <w:szCs w:val="20"/>
              </w:rPr>
              <w:t>26,3</w:t>
            </w:r>
          </w:p>
          <w:p w14:paraId="06EB6F69" w14:textId="77777777" w:rsidR="001C588F" w:rsidRPr="00DE697C" w:rsidRDefault="001C588F" w:rsidP="00DE697C">
            <w:pPr>
              <w:pStyle w:val="TableParagraph"/>
              <w:tabs>
                <w:tab w:val="left" w:pos="7513"/>
              </w:tabs>
              <w:ind w:right="95"/>
              <w:jc w:val="both"/>
              <w:rPr>
                <w:sz w:val="20"/>
                <w:szCs w:val="20"/>
              </w:rPr>
            </w:pPr>
            <w:r w:rsidRPr="00DE697C">
              <w:rPr>
                <w:sz w:val="20"/>
                <w:szCs w:val="20"/>
              </w:rPr>
              <w:t>47,4</w:t>
            </w:r>
          </w:p>
          <w:p w14:paraId="111DD402" w14:textId="77777777" w:rsidR="001C588F" w:rsidRPr="00DE697C" w:rsidRDefault="001C588F" w:rsidP="00DE697C">
            <w:pPr>
              <w:pStyle w:val="TableParagraph"/>
              <w:tabs>
                <w:tab w:val="left" w:pos="7513"/>
              </w:tabs>
              <w:ind w:right="95"/>
              <w:jc w:val="both"/>
              <w:rPr>
                <w:sz w:val="20"/>
                <w:szCs w:val="20"/>
              </w:rPr>
            </w:pPr>
            <w:r w:rsidRPr="00DE697C">
              <w:rPr>
                <w:sz w:val="20"/>
                <w:szCs w:val="20"/>
              </w:rPr>
              <w:t>5,3</w:t>
            </w:r>
          </w:p>
          <w:p w14:paraId="405B016E" w14:textId="77777777" w:rsidR="001C588F" w:rsidRPr="00DE697C" w:rsidRDefault="001C588F" w:rsidP="00DE697C">
            <w:pPr>
              <w:pStyle w:val="TableParagraph"/>
              <w:tabs>
                <w:tab w:val="left" w:pos="7513"/>
              </w:tabs>
              <w:ind w:right="95"/>
              <w:jc w:val="both"/>
              <w:rPr>
                <w:sz w:val="20"/>
                <w:szCs w:val="20"/>
              </w:rPr>
            </w:pPr>
          </w:p>
          <w:p w14:paraId="7E52B558" w14:textId="77777777" w:rsidR="001C588F" w:rsidRPr="00DE697C" w:rsidRDefault="001C588F" w:rsidP="00DE697C">
            <w:pPr>
              <w:pStyle w:val="TableParagraph"/>
              <w:tabs>
                <w:tab w:val="left" w:pos="7513"/>
              </w:tabs>
              <w:ind w:right="95"/>
              <w:jc w:val="both"/>
              <w:rPr>
                <w:sz w:val="20"/>
                <w:szCs w:val="20"/>
              </w:rPr>
            </w:pPr>
            <w:r w:rsidRPr="00DE697C">
              <w:rPr>
                <w:sz w:val="20"/>
                <w:szCs w:val="20"/>
              </w:rPr>
              <w:t>21,1</w:t>
            </w:r>
          </w:p>
        </w:tc>
        <w:tc>
          <w:tcPr>
            <w:tcW w:w="1271" w:type="dxa"/>
            <w:tcBorders>
              <w:top w:val="single" w:sz="4" w:space="0" w:color="000000"/>
            </w:tcBorders>
          </w:tcPr>
          <w:p w14:paraId="4603EFBF" w14:textId="77777777" w:rsidR="001C588F" w:rsidRPr="00DE697C" w:rsidRDefault="001C588F" w:rsidP="00DE697C">
            <w:pPr>
              <w:pStyle w:val="TableParagraph"/>
              <w:tabs>
                <w:tab w:val="left" w:pos="7513"/>
              </w:tabs>
              <w:ind w:right="95"/>
              <w:jc w:val="both"/>
              <w:rPr>
                <w:sz w:val="20"/>
                <w:szCs w:val="20"/>
              </w:rPr>
            </w:pPr>
            <w:r w:rsidRPr="00DE697C">
              <w:rPr>
                <w:sz w:val="20"/>
                <w:szCs w:val="20"/>
              </w:rPr>
              <w:t>1</w:t>
            </w:r>
          </w:p>
          <w:p w14:paraId="2011591E" w14:textId="77777777" w:rsidR="001C588F" w:rsidRPr="00DE697C" w:rsidRDefault="001C588F" w:rsidP="00DE697C">
            <w:pPr>
              <w:pStyle w:val="TableParagraph"/>
              <w:tabs>
                <w:tab w:val="left" w:pos="7513"/>
              </w:tabs>
              <w:ind w:right="95"/>
              <w:jc w:val="both"/>
              <w:rPr>
                <w:sz w:val="20"/>
                <w:szCs w:val="20"/>
              </w:rPr>
            </w:pPr>
            <w:r w:rsidRPr="00DE697C">
              <w:rPr>
                <w:sz w:val="20"/>
                <w:szCs w:val="20"/>
              </w:rPr>
              <w:t>1</w:t>
            </w:r>
          </w:p>
          <w:p w14:paraId="5494887F" w14:textId="77777777" w:rsidR="001C588F" w:rsidRPr="00DE697C" w:rsidRDefault="001C588F" w:rsidP="00DE697C">
            <w:pPr>
              <w:pStyle w:val="TableParagraph"/>
              <w:tabs>
                <w:tab w:val="left" w:pos="7513"/>
              </w:tabs>
              <w:ind w:right="95"/>
              <w:jc w:val="both"/>
              <w:rPr>
                <w:sz w:val="20"/>
                <w:szCs w:val="20"/>
              </w:rPr>
            </w:pPr>
            <w:r w:rsidRPr="00DE697C">
              <w:rPr>
                <w:sz w:val="20"/>
                <w:szCs w:val="20"/>
              </w:rPr>
              <w:t>0</w:t>
            </w:r>
          </w:p>
          <w:p w14:paraId="61455D9B" w14:textId="77777777" w:rsidR="001C588F" w:rsidRPr="00DE697C" w:rsidRDefault="001C588F" w:rsidP="00DE697C">
            <w:pPr>
              <w:pStyle w:val="TableParagraph"/>
              <w:tabs>
                <w:tab w:val="left" w:pos="7513"/>
              </w:tabs>
              <w:ind w:right="95"/>
              <w:jc w:val="both"/>
              <w:rPr>
                <w:sz w:val="20"/>
                <w:szCs w:val="20"/>
              </w:rPr>
            </w:pPr>
          </w:p>
          <w:p w14:paraId="4C6F9384" w14:textId="17766098" w:rsidR="001C588F" w:rsidRPr="00DE697C" w:rsidRDefault="001C588F" w:rsidP="00DE697C">
            <w:pPr>
              <w:pStyle w:val="TableParagraph"/>
              <w:tabs>
                <w:tab w:val="left" w:pos="7513"/>
              </w:tabs>
              <w:ind w:right="95"/>
              <w:jc w:val="both"/>
              <w:rPr>
                <w:sz w:val="20"/>
                <w:szCs w:val="20"/>
              </w:rPr>
            </w:pPr>
            <w:r w:rsidRPr="00DE697C">
              <w:rPr>
                <w:sz w:val="20"/>
                <w:szCs w:val="20"/>
              </w:rPr>
              <w:t>2</w:t>
            </w:r>
          </w:p>
        </w:tc>
        <w:tc>
          <w:tcPr>
            <w:tcW w:w="2475" w:type="dxa"/>
            <w:tcBorders>
              <w:top w:val="single" w:sz="4" w:space="0" w:color="000000"/>
            </w:tcBorders>
          </w:tcPr>
          <w:p w14:paraId="6F7B129B" w14:textId="77777777" w:rsidR="001C588F" w:rsidRPr="00DE697C" w:rsidRDefault="001C588F" w:rsidP="00DE697C">
            <w:pPr>
              <w:pStyle w:val="TableParagraph"/>
              <w:tabs>
                <w:tab w:val="left" w:pos="7513"/>
              </w:tabs>
              <w:ind w:right="95"/>
              <w:jc w:val="both"/>
              <w:rPr>
                <w:sz w:val="20"/>
                <w:szCs w:val="20"/>
              </w:rPr>
            </w:pPr>
            <w:r w:rsidRPr="00DE697C">
              <w:rPr>
                <w:sz w:val="20"/>
                <w:szCs w:val="20"/>
              </w:rPr>
              <w:t>4</w:t>
            </w:r>
          </w:p>
          <w:p w14:paraId="5F85B47A" w14:textId="77777777" w:rsidR="001C588F" w:rsidRPr="00DE697C" w:rsidRDefault="001C588F" w:rsidP="00DE697C">
            <w:pPr>
              <w:pStyle w:val="TableParagraph"/>
              <w:tabs>
                <w:tab w:val="left" w:pos="7513"/>
              </w:tabs>
              <w:ind w:right="95"/>
              <w:jc w:val="both"/>
              <w:rPr>
                <w:sz w:val="20"/>
                <w:szCs w:val="20"/>
              </w:rPr>
            </w:pPr>
            <w:r w:rsidRPr="00DE697C">
              <w:rPr>
                <w:sz w:val="20"/>
                <w:szCs w:val="20"/>
              </w:rPr>
              <w:t>8</w:t>
            </w:r>
          </w:p>
          <w:p w14:paraId="27698304" w14:textId="77777777" w:rsidR="001C588F" w:rsidRPr="00DE697C" w:rsidRDefault="001C588F" w:rsidP="00DE697C">
            <w:pPr>
              <w:pStyle w:val="TableParagraph"/>
              <w:tabs>
                <w:tab w:val="left" w:pos="7513"/>
              </w:tabs>
              <w:ind w:right="95"/>
              <w:jc w:val="both"/>
              <w:rPr>
                <w:sz w:val="20"/>
                <w:szCs w:val="20"/>
              </w:rPr>
            </w:pPr>
            <w:r w:rsidRPr="00DE697C">
              <w:rPr>
                <w:sz w:val="20"/>
                <w:szCs w:val="20"/>
              </w:rPr>
              <w:t>1</w:t>
            </w:r>
          </w:p>
          <w:p w14:paraId="15D3EA00" w14:textId="77777777" w:rsidR="001C588F" w:rsidRPr="00DE697C" w:rsidRDefault="001C588F" w:rsidP="00DE697C">
            <w:pPr>
              <w:pStyle w:val="TableParagraph"/>
              <w:tabs>
                <w:tab w:val="left" w:pos="7513"/>
              </w:tabs>
              <w:ind w:right="95"/>
              <w:jc w:val="both"/>
              <w:rPr>
                <w:sz w:val="20"/>
                <w:szCs w:val="20"/>
              </w:rPr>
            </w:pPr>
          </w:p>
          <w:p w14:paraId="7DC4C8A7" w14:textId="77777777" w:rsidR="001C588F" w:rsidRPr="00DE697C" w:rsidRDefault="001C588F" w:rsidP="00DE697C">
            <w:pPr>
              <w:pStyle w:val="TableParagraph"/>
              <w:tabs>
                <w:tab w:val="left" w:pos="7513"/>
              </w:tabs>
              <w:ind w:right="95"/>
              <w:jc w:val="both"/>
              <w:rPr>
                <w:sz w:val="20"/>
                <w:szCs w:val="20"/>
              </w:rPr>
            </w:pPr>
            <w:r w:rsidRPr="00DE697C">
              <w:rPr>
                <w:sz w:val="20"/>
                <w:szCs w:val="20"/>
              </w:rPr>
              <w:t>2</w:t>
            </w:r>
          </w:p>
        </w:tc>
      </w:tr>
      <w:tr w:rsidR="00DE697C" w:rsidRPr="00DE697C" w14:paraId="1E99A39D" w14:textId="77777777" w:rsidTr="00DE697C">
        <w:trPr>
          <w:trHeight w:val="78"/>
        </w:trPr>
        <w:tc>
          <w:tcPr>
            <w:tcW w:w="1923" w:type="dxa"/>
            <w:tcBorders>
              <w:top w:val="single" w:sz="4" w:space="0" w:color="000000"/>
              <w:bottom w:val="single" w:sz="4" w:space="0" w:color="7E7E7E"/>
            </w:tcBorders>
          </w:tcPr>
          <w:p w14:paraId="5DB1FFAC" w14:textId="1D28B2B1" w:rsidR="001C588F" w:rsidRPr="00DE697C" w:rsidRDefault="00274FCF" w:rsidP="00DE697C">
            <w:pPr>
              <w:pStyle w:val="TableParagraph"/>
              <w:tabs>
                <w:tab w:val="left" w:pos="7513"/>
              </w:tabs>
              <w:ind w:right="95"/>
              <w:jc w:val="both"/>
              <w:rPr>
                <w:b/>
                <w:sz w:val="20"/>
                <w:szCs w:val="20"/>
              </w:rPr>
            </w:pPr>
            <w:r w:rsidRPr="00DE697C">
              <w:rPr>
                <w:b/>
                <w:sz w:val="20"/>
                <w:szCs w:val="20"/>
              </w:rPr>
              <w:t>Total</w:t>
            </w:r>
          </w:p>
        </w:tc>
        <w:tc>
          <w:tcPr>
            <w:tcW w:w="278" w:type="dxa"/>
            <w:tcBorders>
              <w:top w:val="single" w:sz="4" w:space="0" w:color="000000"/>
              <w:bottom w:val="single" w:sz="4" w:space="0" w:color="7E7E7E"/>
            </w:tcBorders>
          </w:tcPr>
          <w:p w14:paraId="10AA4AE5" w14:textId="77777777" w:rsidR="001C588F" w:rsidRPr="00DE697C" w:rsidRDefault="001C588F" w:rsidP="00DE697C">
            <w:pPr>
              <w:pStyle w:val="TableParagraph"/>
              <w:tabs>
                <w:tab w:val="left" w:pos="7513"/>
              </w:tabs>
              <w:ind w:right="95"/>
              <w:jc w:val="both"/>
              <w:rPr>
                <w:sz w:val="20"/>
                <w:szCs w:val="20"/>
              </w:rPr>
            </w:pPr>
          </w:p>
        </w:tc>
        <w:tc>
          <w:tcPr>
            <w:tcW w:w="1713" w:type="dxa"/>
            <w:tcBorders>
              <w:top w:val="single" w:sz="4" w:space="0" w:color="000000"/>
              <w:bottom w:val="single" w:sz="4" w:space="0" w:color="7E7E7E"/>
            </w:tcBorders>
          </w:tcPr>
          <w:p w14:paraId="7007F739" w14:textId="77777777" w:rsidR="001C588F" w:rsidRPr="00DE697C" w:rsidRDefault="001C588F" w:rsidP="00DE697C">
            <w:pPr>
              <w:pStyle w:val="TableParagraph"/>
              <w:tabs>
                <w:tab w:val="left" w:pos="7513"/>
              </w:tabs>
              <w:ind w:right="95"/>
              <w:jc w:val="both"/>
              <w:rPr>
                <w:b/>
                <w:sz w:val="20"/>
                <w:szCs w:val="20"/>
              </w:rPr>
            </w:pPr>
            <w:r w:rsidRPr="00DE697C">
              <w:rPr>
                <w:b/>
                <w:sz w:val="20"/>
                <w:szCs w:val="20"/>
              </w:rPr>
              <w:t>19</w:t>
            </w:r>
          </w:p>
        </w:tc>
        <w:tc>
          <w:tcPr>
            <w:tcW w:w="1271" w:type="dxa"/>
            <w:tcBorders>
              <w:top w:val="single" w:sz="4" w:space="0" w:color="000000"/>
              <w:bottom w:val="single" w:sz="4" w:space="0" w:color="7E7E7E"/>
            </w:tcBorders>
          </w:tcPr>
          <w:p w14:paraId="7CA44335" w14:textId="77777777" w:rsidR="001C588F" w:rsidRPr="00DE697C" w:rsidRDefault="001C588F" w:rsidP="00DE697C">
            <w:pPr>
              <w:pStyle w:val="TableParagraph"/>
              <w:tabs>
                <w:tab w:val="left" w:pos="7513"/>
              </w:tabs>
              <w:ind w:right="95"/>
              <w:jc w:val="both"/>
              <w:rPr>
                <w:b/>
                <w:sz w:val="20"/>
                <w:szCs w:val="20"/>
              </w:rPr>
            </w:pPr>
            <w:r w:rsidRPr="00DE697C">
              <w:rPr>
                <w:b/>
                <w:sz w:val="20"/>
                <w:szCs w:val="20"/>
              </w:rPr>
              <w:t>100</w:t>
            </w:r>
          </w:p>
        </w:tc>
        <w:tc>
          <w:tcPr>
            <w:tcW w:w="1271" w:type="dxa"/>
            <w:tcBorders>
              <w:top w:val="single" w:sz="4" w:space="0" w:color="000000"/>
              <w:bottom w:val="single" w:sz="4" w:space="0" w:color="7E7E7E"/>
            </w:tcBorders>
          </w:tcPr>
          <w:p w14:paraId="44B3520C" w14:textId="77777777" w:rsidR="001C588F" w:rsidRPr="00DE697C" w:rsidRDefault="001C588F" w:rsidP="00DE697C">
            <w:pPr>
              <w:pStyle w:val="TableParagraph"/>
              <w:tabs>
                <w:tab w:val="left" w:pos="7513"/>
              </w:tabs>
              <w:ind w:right="95"/>
              <w:jc w:val="both"/>
              <w:rPr>
                <w:b/>
                <w:sz w:val="20"/>
                <w:szCs w:val="20"/>
              </w:rPr>
            </w:pPr>
            <w:r w:rsidRPr="00DE697C">
              <w:rPr>
                <w:b/>
                <w:sz w:val="20"/>
                <w:szCs w:val="20"/>
              </w:rPr>
              <w:t>4</w:t>
            </w:r>
          </w:p>
        </w:tc>
        <w:tc>
          <w:tcPr>
            <w:tcW w:w="2475" w:type="dxa"/>
            <w:tcBorders>
              <w:top w:val="single" w:sz="4" w:space="0" w:color="000000"/>
              <w:bottom w:val="single" w:sz="4" w:space="0" w:color="7E7E7E"/>
            </w:tcBorders>
          </w:tcPr>
          <w:p w14:paraId="2E5F71B3" w14:textId="77777777" w:rsidR="001C588F" w:rsidRPr="00DE697C" w:rsidRDefault="001C588F" w:rsidP="00DE697C">
            <w:pPr>
              <w:pStyle w:val="TableParagraph"/>
              <w:tabs>
                <w:tab w:val="left" w:pos="7513"/>
              </w:tabs>
              <w:ind w:right="95"/>
              <w:jc w:val="both"/>
              <w:rPr>
                <w:b/>
                <w:sz w:val="20"/>
                <w:szCs w:val="20"/>
              </w:rPr>
            </w:pPr>
            <w:r w:rsidRPr="00DE697C">
              <w:rPr>
                <w:b/>
                <w:sz w:val="20"/>
                <w:szCs w:val="20"/>
              </w:rPr>
              <w:t>15</w:t>
            </w:r>
          </w:p>
        </w:tc>
      </w:tr>
    </w:tbl>
    <w:p w14:paraId="3D8900E9" w14:textId="77777777" w:rsidR="001C588F" w:rsidRPr="00DE697C" w:rsidRDefault="001C588F" w:rsidP="00DE697C">
      <w:pPr>
        <w:tabs>
          <w:tab w:val="left" w:pos="717"/>
          <w:tab w:val="left" w:pos="7513"/>
        </w:tabs>
        <w:ind w:right="95"/>
        <w:jc w:val="both"/>
        <w:rPr>
          <w:sz w:val="24"/>
          <w:szCs w:val="24"/>
        </w:rPr>
      </w:pPr>
    </w:p>
    <w:p w14:paraId="03764C09" w14:textId="77777777" w:rsidR="006327E4" w:rsidRPr="00DE697C" w:rsidRDefault="00CB5E53" w:rsidP="00DE697C">
      <w:pPr>
        <w:pStyle w:val="Heading2"/>
        <w:tabs>
          <w:tab w:val="left" w:pos="717"/>
          <w:tab w:val="left" w:pos="7513"/>
        </w:tabs>
        <w:ind w:left="0" w:right="95" w:firstLine="0"/>
        <w:jc w:val="both"/>
        <w:rPr>
          <w:sz w:val="24"/>
          <w:szCs w:val="24"/>
        </w:rPr>
      </w:pPr>
      <w:r w:rsidRPr="00DE697C">
        <w:rPr>
          <w:spacing w:val="-2"/>
          <w:sz w:val="24"/>
          <w:szCs w:val="24"/>
        </w:rPr>
        <w:t>DISCUSSION</w:t>
      </w:r>
    </w:p>
    <w:p w14:paraId="789C8CDA" w14:textId="77777777" w:rsidR="00DE697C" w:rsidRDefault="00DE697C" w:rsidP="00DE697C">
      <w:pPr>
        <w:pStyle w:val="BodyText"/>
        <w:tabs>
          <w:tab w:val="left" w:pos="7513"/>
        </w:tabs>
        <w:ind w:right="95" w:firstLine="403"/>
        <w:rPr>
          <w:rStyle w:val="rynqvb"/>
          <w:sz w:val="24"/>
          <w:szCs w:val="24"/>
          <w:lang w:val="en"/>
        </w:rPr>
      </w:pPr>
    </w:p>
    <w:p w14:paraId="6E2372A4" w14:textId="77777777" w:rsidR="00DE697C" w:rsidRDefault="00A31BA5" w:rsidP="00DE697C">
      <w:pPr>
        <w:pStyle w:val="BodyText"/>
        <w:tabs>
          <w:tab w:val="left" w:pos="7513"/>
        </w:tabs>
        <w:ind w:right="95" w:firstLine="426"/>
        <w:rPr>
          <w:rStyle w:val="hwtze"/>
          <w:sz w:val="24"/>
          <w:szCs w:val="24"/>
          <w:lang w:val="en"/>
        </w:rPr>
      </w:pPr>
      <w:r w:rsidRPr="00DE697C">
        <w:rPr>
          <w:rStyle w:val="rynqvb"/>
          <w:sz w:val="24"/>
          <w:szCs w:val="24"/>
          <w:lang w:val="en"/>
        </w:rPr>
        <w:t>Referring to the research data on the characteristics of TON patients based on gender at Ngoerah Denpasar General Hospital in 2022 – 2023, the highest number of TON patients is male, more than female with a percentage of 94.7% and 5.3% respectively.</w:t>
      </w:r>
      <w:r w:rsidRPr="00DE697C">
        <w:rPr>
          <w:rStyle w:val="hwtze"/>
          <w:sz w:val="24"/>
          <w:szCs w:val="24"/>
          <w:lang w:val="en"/>
        </w:rPr>
        <w:t xml:space="preserve"> </w:t>
      </w:r>
      <w:r w:rsidRPr="00DE697C">
        <w:rPr>
          <w:rStyle w:val="rynqvb"/>
          <w:sz w:val="24"/>
          <w:szCs w:val="24"/>
          <w:lang w:val="en"/>
        </w:rPr>
        <w:t xml:space="preserve">Similar results were also found in a study based on </w:t>
      </w:r>
      <w:r w:rsidR="001B3F38" w:rsidRPr="00DE697C">
        <w:rPr>
          <w:rStyle w:val="rynqvb"/>
          <w:sz w:val="24"/>
          <w:szCs w:val="24"/>
          <w:lang w:val="en"/>
        </w:rPr>
        <w:t xml:space="preserve">Ngoerah </w:t>
      </w:r>
      <w:r w:rsidRPr="00DE697C">
        <w:rPr>
          <w:rStyle w:val="rynqvb"/>
          <w:sz w:val="24"/>
          <w:szCs w:val="24"/>
          <w:lang w:val="en"/>
        </w:rPr>
        <w:t>Hospital in 2013-2015 which showed that male gender was more than female with a percentage of 78.6% and 21.4% respectively (Mahayani, 2017).</w:t>
      </w:r>
      <w:r w:rsidRPr="00DE697C">
        <w:rPr>
          <w:rStyle w:val="hwtze"/>
          <w:sz w:val="24"/>
          <w:szCs w:val="24"/>
          <w:lang w:val="en"/>
        </w:rPr>
        <w:t xml:space="preserve"> </w:t>
      </w:r>
      <w:r w:rsidRPr="00DE697C">
        <w:rPr>
          <w:rStyle w:val="rynqvb"/>
          <w:sz w:val="24"/>
          <w:szCs w:val="24"/>
          <w:lang w:val="en"/>
        </w:rPr>
        <w:t>The same results were also shown in a study conducted by Sujithra, H, et al in the Indian Journal of Ophthalmology that male gender was more dominant than female with a percentage of 91.2% and 8.8% respectively (Sujithra, H, et al, 2023).</w:t>
      </w:r>
      <w:r w:rsidRPr="00DE697C">
        <w:rPr>
          <w:rStyle w:val="hwtze"/>
          <w:sz w:val="24"/>
          <w:szCs w:val="24"/>
          <w:lang w:val="en"/>
        </w:rPr>
        <w:t xml:space="preserve"> </w:t>
      </w:r>
      <w:r w:rsidRPr="00DE697C">
        <w:rPr>
          <w:rStyle w:val="rynqvb"/>
          <w:sz w:val="24"/>
          <w:szCs w:val="24"/>
          <w:lang w:val="en"/>
        </w:rPr>
        <w:t>In his research, Natarajan Srivalli also showed that the total in male gender was 23 cases and female 2 cases.</w:t>
      </w:r>
      <w:r w:rsidRPr="00DE697C">
        <w:rPr>
          <w:rStyle w:val="hwtze"/>
          <w:sz w:val="24"/>
          <w:szCs w:val="24"/>
          <w:lang w:val="en"/>
        </w:rPr>
        <w:t xml:space="preserve"> </w:t>
      </w:r>
      <w:r w:rsidRPr="00DE697C">
        <w:rPr>
          <w:rStyle w:val="rynqvb"/>
          <w:sz w:val="24"/>
          <w:szCs w:val="24"/>
          <w:lang w:val="en"/>
        </w:rPr>
        <w:t>This study was conducted from January to September 2020 on patients who came to the Department of Oral and Maxillofacial Surgery, Mahatma Gandhi Missions Dental College and Hospital, (Natarajan Srivalli, et al., 2022).</w:t>
      </w:r>
      <w:r w:rsidRPr="00DE697C">
        <w:rPr>
          <w:rStyle w:val="hwtze"/>
          <w:sz w:val="24"/>
          <w:szCs w:val="24"/>
          <w:lang w:val="en"/>
        </w:rPr>
        <w:t xml:space="preserve"> </w:t>
      </w:r>
      <w:r w:rsidRPr="00DE697C">
        <w:rPr>
          <w:rStyle w:val="rynqvb"/>
          <w:sz w:val="24"/>
          <w:szCs w:val="24"/>
          <w:lang w:val="en"/>
        </w:rPr>
        <w:t>Wang Wei et al. in their research at the Department of Neurosurgery, Beijing Tongren Hospital, Capital Hal Medical University also obtained data among 685 cases with a diagnosis of TON, 621 were male and 64 were female (Wang Wei, 2022).</w:t>
      </w:r>
      <w:r w:rsidRPr="00DE697C">
        <w:rPr>
          <w:rStyle w:val="hwtze"/>
          <w:sz w:val="24"/>
          <w:szCs w:val="24"/>
          <w:lang w:val="en"/>
        </w:rPr>
        <w:t xml:space="preserve"> </w:t>
      </w:r>
      <w:r w:rsidRPr="00DE697C">
        <w:rPr>
          <w:rStyle w:val="rynqvb"/>
          <w:sz w:val="24"/>
          <w:szCs w:val="24"/>
          <w:lang w:val="en"/>
        </w:rPr>
        <w:t>A similar thing was also found in the observation conducted by Kumar et al. who stated that in their study all patients were male;</w:t>
      </w:r>
      <w:r w:rsidRPr="00DE697C">
        <w:rPr>
          <w:rStyle w:val="hwtze"/>
          <w:sz w:val="24"/>
          <w:szCs w:val="24"/>
          <w:lang w:val="en"/>
        </w:rPr>
        <w:t xml:space="preserve"> </w:t>
      </w:r>
      <w:r w:rsidRPr="00DE697C">
        <w:rPr>
          <w:rStyle w:val="rynqvb"/>
          <w:sz w:val="24"/>
          <w:szCs w:val="24"/>
          <w:lang w:val="en"/>
        </w:rPr>
        <w:t>there were no women showing a prevalence in men much higher than in women (Kumar et al., 2022).</w:t>
      </w:r>
      <w:r w:rsidRPr="00DE697C">
        <w:rPr>
          <w:rStyle w:val="hwtze"/>
          <w:sz w:val="24"/>
          <w:szCs w:val="24"/>
          <w:lang w:val="en"/>
        </w:rPr>
        <w:t xml:space="preserve"> </w:t>
      </w:r>
    </w:p>
    <w:p w14:paraId="3A5D648C" w14:textId="77777777" w:rsidR="00DE697C" w:rsidRDefault="00A31BA5" w:rsidP="00DE697C">
      <w:pPr>
        <w:pStyle w:val="BodyText"/>
        <w:tabs>
          <w:tab w:val="left" w:pos="7513"/>
        </w:tabs>
        <w:ind w:right="95" w:firstLine="426"/>
        <w:rPr>
          <w:rStyle w:val="hwtze"/>
          <w:sz w:val="24"/>
          <w:szCs w:val="24"/>
          <w:lang w:val="en"/>
        </w:rPr>
      </w:pPr>
      <w:r w:rsidRPr="00DE697C">
        <w:rPr>
          <w:rStyle w:val="rynqvb"/>
          <w:sz w:val="24"/>
          <w:szCs w:val="24"/>
          <w:lang w:val="en"/>
        </w:rPr>
        <w:t>The characteristics of TON patients based on age at Ngoerah General Hospital in 2022 - 2023, the highest number of TON patients was in the adult age range between 19-59 years with a percentage of 73.7%. This study is similar to the data obtained by Baiq Risha Feby Amelia et al. in the International Journal of Health and Science which stated that TON was dominated by 80% of male patients with an average age of 31 years, and 21% younger at the age of 18 years (Amelia et al., 2021).</w:t>
      </w:r>
      <w:r w:rsidRPr="00DE697C">
        <w:rPr>
          <w:rStyle w:val="hwtze"/>
          <w:sz w:val="24"/>
          <w:szCs w:val="24"/>
          <w:lang w:val="en"/>
        </w:rPr>
        <w:t xml:space="preserve"> </w:t>
      </w:r>
      <w:r w:rsidRPr="00DE697C">
        <w:rPr>
          <w:rStyle w:val="rynqvb"/>
          <w:sz w:val="24"/>
          <w:szCs w:val="24"/>
          <w:lang w:val="en"/>
        </w:rPr>
        <w:t>This is also in accordance with observations made by Deepti R et al in 2018 with 15 TON patients, 14 (93%) of whom were male with an average age of 33 years and more than half were over 30 years old in their study entitled "Prevalence, profile and outcome of traumatic optic nerve injury in neurosurgical patients treated at a tertiary care center in South India" (Deepti R et al., 2018).</w:t>
      </w:r>
      <w:r w:rsidRPr="00DE697C">
        <w:rPr>
          <w:rStyle w:val="hwtze"/>
          <w:sz w:val="24"/>
          <w:szCs w:val="24"/>
          <w:lang w:val="en"/>
        </w:rPr>
        <w:t xml:space="preserve"> </w:t>
      </w:r>
      <w:r w:rsidRPr="00DE697C">
        <w:rPr>
          <w:rStyle w:val="rynqvb"/>
          <w:sz w:val="24"/>
          <w:szCs w:val="24"/>
          <w:lang w:val="en"/>
        </w:rPr>
        <w:t>A study conducted by Natarajan Srivalli et al. at the Department of Oral and Maxillofacial Surgery, Mahatma Gandhi Missions Dental College and Hospital, found that TON patients were mostly found in the population with an age range of 24 to 58 years.</w:t>
      </w:r>
      <w:r w:rsidRPr="00DE697C">
        <w:rPr>
          <w:rStyle w:val="hwtze"/>
          <w:sz w:val="24"/>
          <w:szCs w:val="24"/>
          <w:lang w:val="en"/>
        </w:rPr>
        <w:t xml:space="preserve"> </w:t>
      </w:r>
      <w:r w:rsidRPr="00DE697C">
        <w:rPr>
          <w:rStyle w:val="rynqvb"/>
          <w:sz w:val="24"/>
          <w:szCs w:val="24"/>
          <w:lang w:val="en"/>
        </w:rPr>
        <w:t>(Natarajan Srivalli, et al., 2022).</w:t>
      </w:r>
      <w:r w:rsidRPr="00DE697C">
        <w:rPr>
          <w:rStyle w:val="hwtze"/>
          <w:sz w:val="24"/>
          <w:szCs w:val="24"/>
          <w:lang w:val="en"/>
        </w:rPr>
        <w:t xml:space="preserve"> </w:t>
      </w:r>
    </w:p>
    <w:p w14:paraId="2C8C96F7" w14:textId="77777777" w:rsidR="00DE697C" w:rsidRDefault="00A31BA5" w:rsidP="00DE697C">
      <w:pPr>
        <w:pStyle w:val="BodyText"/>
        <w:tabs>
          <w:tab w:val="left" w:pos="7513"/>
        </w:tabs>
        <w:ind w:right="95" w:firstLine="426"/>
        <w:rPr>
          <w:rStyle w:val="rynqvb"/>
          <w:sz w:val="24"/>
          <w:szCs w:val="24"/>
          <w:lang w:val="en"/>
        </w:rPr>
      </w:pPr>
      <w:r w:rsidRPr="00DE697C">
        <w:rPr>
          <w:rStyle w:val="rynqvb"/>
          <w:sz w:val="24"/>
          <w:szCs w:val="24"/>
          <w:lang w:val="en"/>
        </w:rPr>
        <w:t>Similar results in a study in the Indian Journal of Ophthalmology Sujithra where the number of TON patients at an average age of 34.4 ± 17.65 years (Sujithra, H, et al., 2023).</w:t>
      </w:r>
      <w:r w:rsidRPr="00DE697C">
        <w:rPr>
          <w:rStyle w:val="hwtze"/>
          <w:sz w:val="24"/>
          <w:szCs w:val="24"/>
          <w:lang w:val="en"/>
        </w:rPr>
        <w:t xml:space="preserve"> </w:t>
      </w:r>
      <w:r w:rsidRPr="00DE697C">
        <w:rPr>
          <w:rStyle w:val="rynqvb"/>
          <w:sz w:val="24"/>
          <w:szCs w:val="24"/>
          <w:lang w:val="en"/>
        </w:rPr>
        <w:t>Meanwhile, in a study in England, Nicole et al. also said that patients with the characteristics of TON patients were most at an age with an average age of 31 years.</w:t>
      </w:r>
      <w:r w:rsidRPr="00DE697C">
        <w:rPr>
          <w:rStyle w:val="hwtze"/>
          <w:sz w:val="24"/>
          <w:szCs w:val="24"/>
          <w:lang w:val="en"/>
        </w:rPr>
        <w:t xml:space="preserve"> </w:t>
      </w:r>
      <w:r w:rsidRPr="00DE697C">
        <w:rPr>
          <w:rStyle w:val="rynqvb"/>
          <w:sz w:val="24"/>
          <w:szCs w:val="24"/>
          <w:lang w:val="en"/>
        </w:rPr>
        <w:t>(Tsai, Nicole Y, 2024).</w:t>
      </w:r>
      <w:r w:rsidRPr="00DE697C">
        <w:rPr>
          <w:rStyle w:val="hwtze"/>
          <w:sz w:val="24"/>
          <w:szCs w:val="24"/>
          <w:lang w:val="en"/>
        </w:rPr>
        <w:t xml:space="preserve"> </w:t>
      </w:r>
      <w:r w:rsidRPr="00DE697C">
        <w:rPr>
          <w:rStyle w:val="rynqvb"/>
          <w:sz w:val="24"/>
          <w:szCs w:val="24"/>
          <w:lang w:val="en"/>
        </w:rPr>
        <w:t>To further understand the relationship between risky behavior and the incidence of TON in young adults, research is needed that specifically examines this aspect.</w:t>
      </w:r>
      <w:r w:rsidRPr="00DE697C">
        <w:rPr>
          <w:rStyle w:val="hwtze"/>
          <w:sz w:val="24"/>
          <w:szCs w:val="24"/>
          <w:lang w:val="en"/>
        </w:rPr>
        <w:t xml:space="preserve"> </w:t>
      </w:r>
      <w:r w:rsidRPr="00DE697C">
        <w:rPr>
          <w:rStyle w:val="rynqvb"/>
          <w:sz w:val="24"/>
          <w:szCs w:val="24"/>
          <w:lang w:val="en"/>
        </w:rPr>
        <w:t>According to Currently, the literature that directly links risky behavior to the incidence of TON in young adults is still limited.</w:t>
      </w:r>
      <w:r w:rsidRPr="00DE697C">
        <w:rPr>
          <w:rStyle w:val="hwtze"/>
          <w:sz w:val="24"/>
          <w:szCs w:val="24"/>
          <w:lang w:val="en"/>
        </w:rPr>
        <w:t xml:space="preserve"> </w:t>
      </w:r>
      <w:r w:rsidRPr="00DE697C">
        <w:rPr>
          <w:rStyle w:val="rynqvb"/>
          <w:sz w:val="24"/>
          <w:szCs w:val="24"/>
          <w:lang w:val="en"/>
        </w:rPr>
        <w:t>The study showed that young adults may have certain physiological responses to trauma that make them more susceptible to TON.</w:t>
      </w:r>
      <w:r w:rsidRPr="00DE697C">
        <w:rPr>
          <w:rStyle w:val="hwtze"/>
          <w:sz w:val="24"/>
          <w:szCs w:val="24"/>
          <w:lang w:val="en"/>
        </w:rPr>
        <w:t xml:space="preserve"> </w:t>
      </w:r>
      <w:r w:rsidRPr="00DE697C">
        <w:rPr>
          <w:rStyle w:val="rynqvb"/>
          <w:sz w:val="24"/>
          <w:szCs w:val="24"/>
          <w:lang w:val="en"/>
        </w:rPr>
        <w:t>This could be related to the fact that young adults tend to engage in more intense physical activities, such as extreme sports or jobs that require physical exertion, which increase the risk of head or facial injuries.</w:t>
      </w:r>
    </w:p>
    <w:p w14:paraId="102858FE" w14:textId="77777777" w:rsidR="00DE697C" w:rsidRDefault="00A31BA5" w:rsidP="00DE697C">
      <w:pPr>
        <w:pStyle w:val="BodyText"/>
        <w:tabs>
          <w:tab w:val="left" w:pos="7513"/>
        </w:tabs>
        <w:ind w:right="95" w:firstLine="426"/>
        <w:rPr>
          <w:rStyle w:val="hwtze"/>
          <w:sz w:val="24"/>
          <w:szCs w:val="24"/>
          <w:lang w:val="en"/>
        </w:rPr>
      </w:pPr>
      <w:r w:rsidRPr="00DE697C">
        <w:rPr>
          <w:rStyle w:val="rynqvb"/>
          <w:sz w:val="24"/>
          <w:szCs w:val="24"/>
          <w:lang w:val="en"/>
        </w:rPr>
        <w:t xml:space="preserve">Most TON patients who came to </w:t>
      </w:r>
      <w:r w:rsidR="001B3F38" w:rsidRPr="00DE697C">
        <w:rPr>
          <w:rStyle w:val="rynqvb"/>
          <w:sz w:val="24"/>
          <w:szCs w:val="24"/>
          <w:lang w:val="en"/>
        </w:rPr>
        <w:t>Ngoerah</w:t>
      </w:r>
      <w:r w:rsidRPr="00DE697C">
        <w:rPr>
          <w:rStyle w:val="rynqvb"/>
          <w:sz w:val="24"/>
          <w:szCs w:val="24"/>
          <w:lang w:val="en"/>
        </w:rPr>
        <w:t xml:space="preserve"> Hospital came from Tabanan City.</w:t>
      </w:r>
      <w:r w:rsidRPr="00DE697C">
        <w:rPr>
          <w:rStyle w:val="hwtze"/>
          <w:sz w:val="24"/>
          <w:szCs w:val="24"/>
          <w:lang w:val="en"/>
        </w:rPr>
        <w:t xml:space="preserve"> </w:t>
      </w:r>
      <w:r w:rsidRPr="00DE697C">
        <w:rPr>
          <w:rStyle w:val="rynqvb"/>
          <w:sz w:val="24"/>
          <w:szCs w:val="24"/>
          <w:lang w:val="en"/>
        </w:rPr>
        <w:t>This can be attributed to the high population density based on the Bali Provincial Statistics Agency, which reached 467,700 people.</w:t>
      </w:r>
      <w:r w:rsidRPr="00DE697C">
        <w:rPr>
          <w:rStyle w:val="hwtze"/>
          <w:sz w:val="24"/>
          <w:szCs w:val="24"/>
          <w:lang w:val="en"/>
        </w:rPr>
        <w:t xml:space="preserve"> </w:t>
      </w:r>
      <w:r w:rsidRPr="00DE697C">
        <w:rPr>
          <w:rStyle w:val="rynqvb"/>
          <w:sz w:val="24"/>
          <w:szCs w:val="24"/>
          <w:lang w:val="en"/>
        </w:rPr>
        <w:t>In contrast to the research obtained in 2013-2015, the most domicile was obtained from Denpasar, more precisely around 53.8% of patients with the high-dose corticosteroid group (Mahayani et al., 2017). The characteristics of TON patients based on initial vision obtained at Ngoerah Hospital in 2022 - 2023 can be seen in table 5.4.</w:t>
      </w:r>
      <w:r w:rsidRPr="00DE697C">
        <w:rPr>
          <w:rStyle w:val="hwtze"/>
          <w:sz w:val="24"/>
          <w:szCs w:val="24"/>
          <w:lang w:val="en"/>
        </w:rPr>
        <w:t xml:space="preserve"> </w:t>
      </w:r>
      <w:r w:rsidRPr="00DE697C">
        <w:rPr>
          <w:rStyle w:val="rynqvb"/>
          <w:sz w:val="24"/>
          <w:szCs w:val="24"/>
          <w:lang w:val="en"/>
        </w:rPr>
        <w:t>The highest number was in vision &lt;6/12 to ≥ 6/60 with a percentage of 47.4%.</w:t>
      </w:r>
      <w:r w:rsidRPr="00DE697C">
        <w:rPr>
          <w:rStyle w:val="hwtze"/>
          <w:sz w:val="24"/>
          <w:szCs w:val="24"/>
          <w:lang w:val="en"/>
        </w:rPr>
        <w:t xml:space="preserve"> </w:t>
      </w:r>
      <w:r w:rsidRPr="00DE697C">
        <w:rPr>
          <w:rStyle w:val="rynqvb"/>
          <w:sz w:val="24"/>
          <w:szCs w:val="24"/>
          <w:lang w:val="en"/>
        </w:rPr>
        <w:t>Initial vision of TON patients varies, as stated in their study at a hospital in India studied by Kumar et al., the average initial visual acuity of patients was between 20/80-20/100 in six (26.08%) cases (Kumar et al., 2022).</w:t>
      </w:r>
      <w:r w:rsidRPr="00DE697C">
        <w:rPr>
          <w:rStyle w:val="hwtze"/>
          <w:sz w:val="24"/>
          <w:szCs w:val="24"/>
          <w:lang w:val="en"/>
        </w:rPr>
        <w:t xml:space="preserve"> </w:t>
      </w:r>
      <w:r w:rsidRPr="00DE697C">
        <w:rPr>
          <w:rStyle w:val="rynqvb"/>
          <w:sz w:val="24"/>
          <w:szCs w:val="24"/>
          <w:lang w:val="en"/>
        </w:rPr>
        <w:t>A similar study was conducted by Wang Wei in 2022 from 685 patients at the Department of Neurosurgery, Beijing Tongren Hospital, Capital Medical University, Beijing, China;</w:t>
      </w:r>
      <w:r w:rsidRPr="00DE697C">
        <w:rPr>
          <w:rStyle w:val="hwtze"/>
          <w:sz w:val="24"/>
          <w:szCs w:val="24"/>
          <w:lang w:val="en"/>
        </w:rPr>
        <w:t xml:space="preserve"> </w:t>
      </w:r>
      <w:r w:rsidRPr="00DE697C">
        <w:rPr>
          <w:rStyle w:val="rynqvb"/>
          <w:sz w:val="24"/>
          <w:szCs w:val="24"/>
          <w:lang w:val="en"/>
        </w:rPr>
        <w:t>525 patients had initial vision with no light perception (NLP), 47 with light perception (LP), 67 with hand motion (HM), and 46 with fingers counting (Wang Wei, 2022).</w:t>
      </w:r>
      <w:r w:rsidRPr="00DE697C">
        <w:rPr>
          <w:rStyle w:val="hwtze"/>
          <w:sz w:val="24"/>
          <w:szCs w:val="24"/>
          <w:lang w:val="en"/>
        </w:rPr>
        <w:t xml:space="preserve"> </w:t>
      </w:r>
    </w:p>
    <w:p w14:paraId="56A76079" w14:textId="77777777" w:rsidR="00DE697C" w:rsidRDefault="00A31BA5" w:rsidP="00DE697C">
      <w:pPr>
        <w:pStyle w:val="BodyText"/>
        <w:tabs>
          <w:tab w:val="left" w:pos="7513"/>
        </w:tabs>
        <w:ind w:right="95" w:firstLine="426"/>
        <w:rPr>
          <w:rStyle w:val="rynqvb"/>
          <w:sz w:val="24"/>
          <w:szCs w:val="24"/>
          <w:lang w:val="en"/>
        </w:rPr>
      </w:pPr>
      <w:r w:rsidRPr="00DE697C">
        <w:rPr>
          <w:rStyle w:val="rynqvb"/>
          <w:sz w:val="24"/>
          <w:szCs w:val="24"/>
          <w:lang w:val="en"/>
        </w:rPr>
        <w:t>In January 2020 and December 2022 at the Department of Neurosurgery at the Affiliated Hospital of the Naval Medical University and the Shanghai Seventh People's Hospital, Jiancung Wang et al. found that out of 206 cases, 143 patients had initial vision with light perception, and 63 patients had no light perception.</w:t>
      </w:r>
      <w:r w:rsidRPr="00DE697C">
        <w:rPr>
          <w:rStyle w:val="hwtze"/>
          <w:sz w:val="24"/>
          <w:szCs w:val="24"/>
          <w:lang w:val="en"/>
        </w:rPr>
        <w:t xml:space="preserve"> </w:t>
      </w:r>
      <w:r w:rsidRPr="00DE697C">
        <w:rPr>
          <w:rStyle w:val="rynqvb"/>
          <w:sz w:val="24"/>
          <w:szCs w:val="24"/>
          <w:lang w:val="en"/>
        </w:rPr>
        <w:t>(Wang, Jiancung et al., 2024).</w:t>
      </w:r>
      <w:r w:rsidRPr="00DE697C">
        <w:rPr>
          <w:rStyle w:val="hwtze"/>
          <w:sz w:val="24"/>
          <w:szCs w:val="24"/>
          <w:lang w:val="en"/>
        </w:rPr>
        <w:t xml:space="preserve"> </w:t>
      </w:r>
      <w:r w:rsidRPr="00DE697C">
        <w:rPr>
          <w:rStyle w:val="rynqvb"/>
          <w:sz w:val="24"/>
          <w:szCs w:val="24"/>
          <w:lang w:val="en"/>
        </w:rPr>
        <w:t>In the Indian Journal of Ophthalmology, Sujihtra et al. also found that several patients had varying initial acuity, including seven patients who did not have PL, 18 patients who had best corrected visual acuity (BCVA) between PL and 3/60, and eight other patients who had BCVA&gt; 3/60.</w:t>
      </w:r>
      <w:r w:rsidRPr="00DE697C">
        <w:rPr>
          <w:rStyle w:val="hwtze"/>
          <w:sz w:val="24"/>
          <w:szCs w:val="24"/>
          <w:lang w:val="en"/>
        </w:rPr>
        <w:t xml:space="preserve"> </w:t>
      </w:r>
      <w:r w:rsidRPr="00DE697C">
        <w:rPr>
          <w:rStyle w:val="rynqvb"/>
          <w:sz w:val="24"/>
          <w:szCs w:val="24"/>
          <w:lang w:val="en"/>
        </w:rPr>
        <w:t>(Sujithra, H et al., 2023).</w:t>
      </w:r>
      <w:r w:rsidRPr="00DE697C">
        <w:rPr>
          <w:rStyle w:val="hwtze"/>
          <w:sz w:val="24"/>
          <w:szCs w:val="24"/>
          <w:lang w:val="en"/>
        </w:rPr>
        <w:t xml:space="preserve"> </w:t>
      </w:r>
      <w:r w:rsidRPr="00DE697C">
        <w:rPr>
          <w:rStyle w:val="rynqvb"/>
          <w:sz w:val="24"/>
          <w:szCs w:val="24"/>
          <w:lang w:val="en"/>
        </w:rPr>
        <w:t>Meanwhile, based on the final vision obtained at Ngoerah General Hospital in 2022-2023, the most were in the range of ≥ 6/12, as many as 5 cases with a percentage of 26.3%.</w:t>
      </w:r>
      <w:r w:rsidRPr="00DE697C">
        <w:rPr>
          <w:rStyle w:val="hwtze"/>
          <w:sz w:val="24"/>
          <w:szCs w:val="24"/>
          <w:lang w:val="en"/>
        </w:rPr>
        <w:t xml:space="preserve"> </w:t>
      </w:r>
      <w:r w:rsidRPr="00DE697C">
        <w:rPr>
          <w:rStyle w:val="rynqvb"/>
          <w:sz w:val="24"/>
          <w:szCs w:val="24"/>
          <w:lang w:val="en"/>
        </w:rPr>
        <w:t>According to Wright AJ et al. in their research at Memorial Hermann Hospital Texas Medical Center (MHH TMC) in Houston, TX, Baylor St.</w:t>
      </w:r>
      <w:r w:rsidRPr="00DE697C">
        <w:rPr>
          <w:rStyle w:val="hwtze"/>
          <w:sz w:val="24"/>
          <w:szCs w:val="24"/>
          <w:lang w:val="en"/>
        </w:rPr>
        <w:t xml:space="preserve"> </w:t>
      </w:r>
      <w:r w:rsidRPr="00DE697C">
        <w:rPr>
          <w:rStyle w:val="rynqvb"/>
          <w:sz w:val="24"/>
          <w:szCs w:val="24"/>
          <w:lang w:val="en"/>
        </w:rPr>
        <w:t>Luke's Medical Center in Houston, TX, and the Mayo Clinic in Rochester, MN, between January 1, 2011 and March 1, 2015 found that patients with direct TON had limited improvement due to damage from direct compression/severance of the optic nerve causing irreversible axonal damage.</w:t>
      </w:r>
      <w:r w:rsidRPr="00DE697C">
        <w:rPr>
          <w:rStyle w:val="hwtze"/>
          <w:sz w:val="24"/>
          <w:szCs w:val="24"/>
          <w:lang w:val="en"/>
        </w:rPr>
        <w:t xml:space="preserve"> </w:t>
      </w:r>
      <w:r w:rsidRPr="00DE697C">
        <w:rPr>
          <w:rStyle w:val="rynqvb"/>
          <w:sz w:val="24"/>
          <w:szCs w:val="24"/>
          <w:lang w:val="en"/>
        </w:rPr>
        <w:t>In contrast, patients with indirect TON had a more variable visual prognosis, ranging from 20/20 to no light perception (NLP), with stable VA taking 3-6 months to achieve (Wright AJ et al,.2022).</w:t>
      </w:r>
      <w:r w:rsidRPr="00DE697C">
        <w:rPr>
          <w:rStyle w:val="hwtze"/>
          <w:sz w:val="24"/>
          <w:szCs w:val="24"/>
          <w:lang w:val="en"/>
        </w:rPr>
        <w:t xml:space="preserve"> </w:t>
      </w:r>
      <w:r w:rsidRPr="00DE697C">
        <w:rPr>
          <w:rStyle w:val="rynqvb"/>
          <w:sz w:val="24"/>
          <w:szCs w:val="24"/>
          <w:lang w:val="en"/>
        </w:rPr>
        <w:t>by Deepti R et al in 2018 in their study in South India found that at baseline only 5 patients had 6/60 vision, 10 had less than 6/60 and one patient had no light perception.</w:t>
      </w:r>
      <w:r w:rsidRPr="00DE697C">
        <w:rPr>
          <w:rStyle w:val="hwtze"/>
          <w:sz w:val="24"/>
          <w:szCs w:val="24"/>
          <w:lang w:val="en"/>
        </w:rPr>
        <w:t xml:space="preserve"> </w:t>
      </w:r>
      <w:r w:rsidRPr="00DE697C">
        <w:rPr>
          <w:rStyle w:val="rynqvb"/>
          <w:sz w:val="24"/>
          <w:szCs w:val="24"/>
          <w:lang w:val="en"/>
        </w:rPr>
        <w:t>However, at discharge, final visual acuity of 12 patients had 6/60 or better vision, one had less than 6/60 vision, one had light perception while one had no light perception (NPL) (Deepti R et al, 2018).</w:t>
      </w:r>
    </w:p>
    <w:p w14:paraId="255C284D" w14:textId="77777777" w:rsidR="00DE697C" w:rsidRDefault="00A31BA5" w:rsidP="00DE697C">
      <w:pPr>
        <w:pStyle w:val="BodyText"/>
        <w:tabs>
          <w:tab w:val="left" w:pos="7513"/>
        </w:tabs>
        <w:ind w:right="95" w:firstLine="426"/>
        <w:rPr>
          <w:rStyle w:val="hwtze"/>
          <w:sz w:val="24"/>
          <w:szCs w:val="24"/>
          <w:lang w:val="en"/>
        </w:rPr>
      </w:pPr>
      <w:r w:rsidRPr="00DE697C">
        <w:rPr>
          <w:rStyle w:val="rynqvb"/>
          <w:sz w:val="24"/>
          <w:szCs w:val="24"/>
          <w:lang w:val="en"/>
        </w:rPr>
        <w:t>TON patients with characteristics based on underlying injuries at Ngoerah General Hospital in 2022-2023, head injuries with maxillofacial trauma accompanied by skull base fractures were the most dominant, with 8 cases (42.1%).</w:t>
      </w:r>
      <w:r w:rsidRPr="00DE697C">
        <w:rPr>
          <w:rStyle w:val="hwtze"/>
          <w:sz w:val="24"/>
          <w:szCs w:val="24"/>
          <w:lang w:val="en"/>
        </w:rPr>
        <w:t xml:space="preserve"> </w:t>
      </w:r>
      <w:r w:rsidRPr="00DE697C">
        <w:rPr>
          <w:rStyle w:val="rynqvb"/>
          <w:sz w:val="24"/>
          <w:szCs w:val="24"/>
          <w:lang w:val="en"/>
        </w:rPr>
        <w:t>These results are similar to research conducted by Sujithra, et al. in their study also found that orbital wall fracture injuries occurred in 80.5% of patients with lateral wall fractures being the most common (58.3%) followed by the medial wall (33.3%), upper part (27.7%), base part (27.7%), and optic abutment (5%) (Sujithra, H et al., 2023).</w:t>
      </w:r>
      <w:r w:rsidRPr="00DE697C">
        <w:rPr>
          <w:rStyle w:val="hwtze"/>
          <w:sz w:val="24"/>
          <w:szCs w:val="24"/>
          <w:lang w:val="en"/>
        </w:rPr>
        <w:t xml:space="preserve"> </w:t>
      </w:r>
      <w:r w:rsidRPr="00DE697C">
        <w:rPr>
          <w:rStyle w:val="rynqvb"/>
          <w:sz w:val="24"/>
          <w:szCs w:val="24"/>
          <w:lang w:val="en"/>
        </w:rPr>
        <w:t>Mahayani et al. also previously conducted a study at Ngoerah Hospital in the period 2013-2015 which showed that head injuries with skull base fractures were the most common with a percentage of 23.1% equivalent to maxillofacial trauma and no injury (Mahayani, et al., 2017).</w:t>
      </w:r>
      <w:r w:rsidRPr="00DE697C">
        <w:rPr>
          <w:rStyle w:val="hwtze"/>
          <w:sz w:val="24"/>
          <w:szCs w:val="24"/>
          <w:lang w:val="en"/>
        </w:rPr>
        <w:t xml:space="preserve"> </w:t>
      </w:r>
      <w:r w:rsidRPr="00DE697C">
        <w:rPr>
          <w:rStyle w:val="rynqvb"/>
          <w:sz w:val="24"/>
          <w:szCs w:val="24"/>
          <w:lang w:val="en"/>
        </w:rPr>
        <w:t>Meanwhile, Another study in the American Association of Oral and Maxillofacial Surgeons J Oral Maxillofac Surg by Urolagin et al said all patients in this study suffered from zygomaticomaxillary complex (ZMC) fractures;</w:t>
      </w:r>
      <w:r w:rsidRPr="00DE697C">
        <w:rPr>
          <w:rStyle w:val="hwtze"/>
          <w:sz w:val="24"/>
          <w:szCs w:val="24"/>
          <w:lang w:val="en"/>
        </w:rPr>
        <w:t xml:space="preserve"> </w:t>
      </w:r>
      <w:r w:rsidRPr="00DE697C">
        <w:rPr>
          <w:rStyle w:val="rynqvb"/>
          <w:sz w:val="24"/>
          <w:szCs w:val="24"/>
          <w:lang w:val="en"/>
        </w:rPr>
        <w:t>1 patient had Le Fort II, mandibular condyle, and ramus fractures.</w:t>
      </w:r>
      <w:r w:rsidRPr="00DE697C">
        <w:rPr>
          <w:rStyle w:val="hwtze"/>
          <w:sz w:val="24"/>
          <w:szCs w:val="24"/>
          <w:lang w:val="en"/>
        </w:rPr>
        <w:t xml:space="preserve"> </w:t>
      </w:r>
      <w:r w:rsidRPr="00DE697C">
        <w:rPr>
          <w:rStyle w:val="rynqvb"/>
          <w:sz w:val="24"/>
          <w:szCs w:val="24"/>
          <w:lang w:val="en"/>
        </w:rPr>
        <w:t>In 2 patients, there were associated skull fractures.</w:t>
      </w:r>
      <w:r w:rsidRPr="00DE697C">
        <w:rPr>
          <w:rStyle w:val="hwtze"/>
          <w:sz w:val="24"/>
          <w:szCs w:val="24"/>
          <w:lang w:val="en"/>
        </w:rPr>
        <w:t xml:space="preserve"> </w:t>
      </w:r>
      <w:r w:rsidRPr="00DE697C">
        <w:rPr>
          <w:rStyle w:val="rynqvb"/>
          <w:sz w:val="24"/>
          <w:szCs w:val="24"/>
          <w:lang w:val="en"/>
        </w:rPr>
        <w:t>said there was clinical evidence of injury to the superolateral orbital area in 7 patients and the type of injury ranged from closed blunt injury to open laceration (Urolagin, Sarvesh B, 2012).</w:t>
      </w:r>
      <w:r w:rsidRPr="00DE697C">
        <w:rPr>
          <w:rStyle w:val="hwtze"/>
          <w:sz w:val="24"/>
          <w:szCs w:val="24"/>
          <w:lang w:val="en"/>
        </w:rPr>
        <w:t xml:space="preserve"> </w:t>
      </w:r>
    </w:p>
    <w:p w14:paraId="1B5E2AD2" w14:textId="77777777" w:rsidR="00DE697C" w:rsidRDefault="00A31BA5" w:rsidP="00DE697C">
      <w:pPr>
        <w:pStyle w:val="BodyText"/>
        <w:tabs>
          <w:tab w:val="left" w:pos="7513"/>
        </w:tabs>
        <w:ind w:right="95" w:firstLine="426"/>
        <w:rPr>
          <w:rStyle w:val="rynqvb"/>
          <w:sz w:val="24"/>
          <w:szCs w:val="24"/>
          <w:lang w:val="en"/>
        </w:rPr>
      </w:pPr>
      <w:r w:rsidRPr="00DE697C">
        <w:rPr>
          <w:rStyle w:val="rynqvb"/>
          <w:sz w:val="24"/>
          <w:szCs w:val="24"/>
          <w:lang w:val="en"/>
        </w:rPr>
        <w:t>According to Kelishadi SS., et al., in his study divided into five groups of fracture patterns associated with TON, namely zygomatic, frontal, nasal, and orbital fractures which were the most common.</w:t>
      </w:r>
      <w:r w:rsidRPr="00DE697C">
        <w:rPr>
          <w:rStyle w:val="hwtze"/>
          <w:sz w:val="24"/>
          <w:szCs w:val="24"/>
          <w:lang w:val="en"/>
        </w:rPr>
        <w:t xml:space="preserve"> </w:t>
      </w:r>
      <w:r w:rsidRPr="00DE697C">
        <w:rPr>
          <w:rStyle w:val="rynqvb"/>
          <w:sz w:val="24"/>
          <w:szCs w:val="24"/>
          <w:lang w:val="en"/>
        </w:rPr>
        <w:t>The fracture pattern and number were evaluated in 42 patients with 9 people excluded due to incomplete medical records.</w:t>
      </w:r>
      <w:r w:rsidRPr="00DE697C">
        <w:rPr>
          <w:rStyle w:val="hwtze"/>
          <w:sz w:val="24"/>
          <w:szCs w:val="24"/>
          <w:lang w:val="en"/>
        </w:rPr>
        <w:t xml:space="preserve"> </w:t>
      </w:r>
      <w:r w:rsidRPr="00DE697C">
        <w:rPr>
          <w:rStyle w:val="rynqvb"/>
          <w:sz w:val="24"/>
          <w:szCs w:val="24"/>
          <w:lang w:val="en"/>
        </w:rPr>
        <w:t>Group 1 showed fractures of the contralateral lateral orbital wall (100%), zygoma (67%), and nasal bones (67%).</w:t>
      </w:r>
      <w:r w:rsidRPr="00DE697C">
        <w:rPr>
          <w:rStyle w:val="hwtze"/>
          <w:sz w:val="24"/>
          <w:szCs w:val="24"/>
          <w:lang w:val="en"/>
        </w:rPr>
        <w:t xml:space="preserve"> </w:t>
      </w:r>
      <w:r w:rsidRPr="00DE697C">
        <w:rPr>
          <w:rStyle w:val="rynqvb"/>
          <w:sz w:val="24"/>
          <w:szCs w:val="24"/>
          <w:lang w:val="en"/>
        </w:rPr>
        <w:t>Group 2 showed fractures of the frontal bone (86%), nasal bone (71%), and ipsilateral orbital roof (57%).</w:t>
      </w:r>
      <w:r w:rsidRPr="00DE697C">
        <w:rPr>
          <w:rStyle w:val="hwtze"/>
          <w:sz w:val="24"/>
          <w:szCs w:val="24"/>
          <w:lang w:val="en"/>
        </w:rPr>
        <w:t xml:space="preserve"> </w:t>
      </w:r>
      <w:r w:rsidRPr="00DE697C">
        <w:rPr>
          <w:rStyle w:val="rynqvb"/>
          <w:sz w:val="24"/>
          <w:szCs w:val="24"/>
          <w:lang w:val="en"/>
        </w:rPr>
        <w:t>Group 3 involved fractures of the ipsilateral zygoma (100%), lateral orbital wall (29%), and frontal and nasal bones (21% each).</w:t>
      </w:r>
      <w:r w:rsidRPr="00DE697C">
        <w:rPr>
          <w:rStyle w:val="hwtze"/>
          <w:sz w:val="24"/>
          <w:szCs w:val="24"/>
          <w:lang w:val="en"/>
        </w:rPr>
        <w:t xml:space="preserve"> </w:t>
      </w:r>
      <w:r w:rsidRPr="00DE697C">
        <w:rPr>
          <w:rStyle w:val="rynqvb"/>
          <w:sz w:val="24"/>
          <w:szCs w:val="24"/>
          <w:lang w:val="en"/>
        </w:rPr>
        <w:t>Group 4 consisted of fractures of the middle and upper face;</w:t>
      </w:r>
      <w:r w:rsidRPr="00DE697C">
        <w:rPr>
          <w:rStyle w:val="hwtze"/>
          <w:sz w:val="24"/>
          <w:szCs w:val="24"/>
          <w:lang w:val="en"/>
        </w:rPr>
        <w:t xml:space="preserve"> </w:t>
      </w:r>
      <w:r w:rsidRPr="00DE697C">
        <w:rPr>
          <w:rStyle w:val="rynqvb"/>
          <w:sz w:val="24"/>
          <w:szCs w:val="24"/>
          <w:lang w:val="en"/>
        </w:rPr>
        <w:t>100% fractures of the ipsilateral orbital floor, medial and lateral walls, maxilla, and zygoma;</w:t>
      </w:r>
      <w:r w:rsidRPr="00DE697C">
        <w:rPr>
          <w:rStyle w:val="hwtze"/>
          <w:sz w:val="24"/>
          <w:szCs w:val="24"/>
          <w:lang w:val="en"/>
        </w:rPr>
        <w:t xml:space="preserve"> </w:t>
      </w:r>
      <w:r w:rsidRPr="00DE697C">
        <w:rPr>
          <w:rStyle w:val="rynqvb"/>
          <w:sz w:val="24"/>
          <w:szCs w:val="24"/>
          <w:lang w:val="en"/>
        </w:rPr>
        <w:t>80% had bilateral orbital roof and zygoma fractures.</w:t>
      </w:r>
      <w:r w:rsidRPr="00DE697C">
        <w:rPr>
          <w:rStyle w:val="hwtze"/>
          <w:sz w:val="24"/>
          <w:szCs w:val="24"/>
          <w:lang w:val="en"/>
        </w:rPr>
        <w:t xml:space="preserve"> </w:t>
      </w:r>
      <w:r w:rsidRPr="00DE697C">
        <w:rPr>
          <w:rStyle w:val="rynqvb"/>
          <w:sz w:val="24"/>
          <w:szCs w:val="24"/>
          <w:lang w:val="en"/>
        </w:rPr>
        <w:t>Group 5 was characterized by fractures of the ipsilateral orbital floor, medial and lateral orbital walls (75% each), and orbital roof (50%).</w:t>
      </w:r>
      <w:r w:rsidRPr="00DE697C">
        <w:rPr>
          <w:rStyle w:val="hwtze"/>
          <w:sz w:val="24"/>
          <w:szCs w:val="24"/>
          <w:lang w:val="en"/>
        </w:rPr>
        <w:t xml:space="preserve"> </w:t>
      </w:r>
      <w:r w:rsidRPr="00DE697C">
        <w:rPr>
          <w:rStyle w:val="rynqvb"/>
          <w:sz w:val="24"/>
          <w:szCs w:val="24"/>
          <w:lang w:val="en"/>
        </w:rPr>
        <w:t>A total of 15 of 33 patients (45%) had penetrating trauma ( Kelishadi SS et al., 2018).</w:t>
      </w:r>
      <w:r w:rsidRPr="00DE697C">
        <w:rPr>
          <w:rStyle w:val="hwtze"/>
          <w:sz w:val="24"/>
          <w:szCs w:val="24"/>
          <w:lang w:val="en"/>
        </w:rPr>
        <w:t xml:space="preserve"> </w:t>
      </w:r>
      <w:r w:rsidRPr="00DE697C">
        <w:rPr>
          <w:rStyle w:val="rynqvb"/>
          <w:sz w:val="24"/>
          <w:szCs w:val="24"/>
          <w:lang w:val="en"/>
        </w:rPr>
        <w:t>While Karimi et al found in their observations that the most common underlying type of injury was the intracanalicular part of indirect TON (71.4%) and then to the orbital apex (16.7%).</w:t>
      </w:r>
      <w:r w:rsidRPr="00DE697C">
        <w:rPr>
          <w:rStyle w:val="hwtze"/>
          <w:sz w:val="24"/>
          <w:szCs w:val="24"/>
          <w:lang w:val="en"/>
        </w:rPr>
        <w:t xml:space="preserve"> </w:t>
      </w:r>
      <w:r w:rsidRPr="00DE697C">
        <w:rPr>
          <w:rStyle w:val="rynqvb"/>
          <w:sz w:val="24"/>
          <w:szCs w:val="24"/>
          <w:lang w:val="en"/>
        </w:rPr>
        <w:t>Intracranial and orbital peaks were found in 11.9% of cases (Karimi et al. 2021).</w:t>
      </w:r>
      <w:r w:rsidRPr="00DE697C">
        <w:rPr>
          <w:rStyle w:val="hwtze"/>
          <w:sz w:val="24"/>
          <w:szCs w:val="24"/>
          <w:lang w:val="en"/>
        </w:rPr>
        <w:t xml:space="preserve"> </w:t>
      </w:r>
      <w:r w:rsidRPr="00DE697C">
        <w:rPr>
          <w:rStyle w:val="rynqvb"/>
          <w:sz w:val="24"/>
          <w:szCs w:val="24"/>
          <w:lang w:val="en"/>
        </w:rPr>
        <w:t>A similar study was conducted by Gupta D in 2017 in South India who reported that out of 15 ITON patients, 10 (66.7%) of them had skull or orbital fractures and 5 (33.3%) did not have any fractures.</w:t>
      </w:r>
      <w:r w:rsidRPr="00DE697C">
        <w:rPr>
          <w:rStyle w:val="hwtze"/>
          <w:sz w:val="24"/>
          <w:szCs w:val="24"/>
          <w:lang w:val="en"/>
        </w:rPr>
        <w:t xml:space="preserve"> </w:t>
      </w:r>
      <w:r w:rsidRPr="00DE697C">
        <w:rPr>
          <w:rStyle w:val="rynqvb"/>
          <w:sz w:val="24"/>
          <w:szCs w:val="24"/>
          <w:lang w:val="en"/>
        </w:rPr>
        <w:t>Of the bone injuries, the majority were lateral orbital wall fractures accounting for 7 (70%) of the fractures, while one (10%) each had medial orbital wall fractures, orbital roof and floor fractures (Gupta D, et al. 2017).</w:t>
      </w:r>
    </w:p>
    <w:p w14:paraId="60D38683" w14:textId="77777777" w:rsidR="00DE697C" w:rsidRDefault="00A31BA5" w:rsidP="00DE697C">
      <w:pPr>
        <w:pStyle w:val="BodyText"/>
        <w:tabs>
          <w:tab w:val="left" w:pos="7513"/>
        </w:tabs>
        <w:ind w:right="95" w:firstLine="426"/>
        <w:rPr>
          <w:rStyle w:val="hwtze"/>
          <w:sz w:val="24"/>
          <w:szCs w:val="24"/>
          <w:lang w:val="en"/>
        </w:rPr>
      </w:pPr>
      <w:r w:rsidRPr="00DE697C">
        <w:rPr>
          <w:rStyle w:val="rynqvb"/>
          <w:sz w:val="24"/>
          <w:szCs w:val="24"/>
          <w:lang w:val="en"/>
        </w:rPr>
        <w:t>Characteristics of TON patients based on the type of trauma at Ngoerah General Hospital in 2022-2023, can be classified as indirect TON as many as 15 cases (78.9%).</w:t>
      </w:r>
      <w:r w:rsidRPr="00DE697C">
        <w:rPr>
          <w:rStyle w:val="hwtze"/>
          <w:sz w:val="24"/>
          <w:szCs w:val="24"/>
          <w:lang w:val="en"/>
        </w:rPr>
        <w:t xml:space="preserve"> </w:t>
      </w:r>
      <w:r w:rsidRPr="00DE697C">
        <w:rPr>
          <w:rStyle w:val="rynqvb"/>
          <w:sz w:val="24"/>
          <w:szCs w:val="24"/>
          <w:lang w:val="en"/>
        </w:rPr>
        <w:t>This is similar to a study conducted by Sun Young Jang in 2018 in the Korean Journal of Neurotauma which stated that indirect TON is more common than direct TON.</w:t>
      </w:r>
      <w:r w:rsidRPr="00DE697C">
        <w:rPr>
          <w:rStyle w:val="hwtze"/>
          <w:sz w:val="24"/>
          <w:szCs w:val="24"/>
          <w:lang w:val="en"/>
        </w:rPr>
        <w:t xml:space="preserve"> </w:t>
      </w:r>
      <w:r w:rsidRPr="00DE697C">
        <w:rPr>
          <w:rStyle w:val="rynqvb"/>
          <w:sz w:val="24"/>
          <w:szCs w:val="24"/>
          <w:lang w:val="en"/>
        </w:rPr>
        <w:t>This is because indirect TON is caused by the force of a concussion to the head, especially the forehead.</w:t>
      </w:r>
      <w:r w:rsidRPr="00DE697C">
        <w:rPr>
          <w:rStyle w:val="hwtze"/>
          <w:sz w:val="24"/>
          <w:szCs w:val="24"/>
          <w:lang w:val="en"/>
        </w:rPr>
        <w:t xml:space="preserve"> </w:t>
      </w:r>
      <w:r w:rsidRPr="00DE697C">
        <w:rPr>
          <w:rStyle w:val="rynqvb"/>
          <w:sz w:val="24"/>
          <w:szCs w:val="24"/>
          <w:lang w:val="en"/>
        </w:rPr>
        <w:t>The prevalence of indirect TON in closed head trauma has been reported to be 0.5% to 5%.</w:t>
      </w:r>
      <w:r w:rsidRPr="00DE697C">
        <w:rPr>
          <w:rStyle w:val="hwtze"/>
          <w:sz w:val="24"/>
          <w:szCs w:val="24"/>
          <w:lang w:val="en"/>
        </w:rPr>
        <w:t xml:space="preserve"> </w:t>
      </w:r>
      <w:r w:rsidRPr="00DE697C">
        <w:rPr>
          <w:rStyle w:val="rynqvb"/>
          <w:sz w:val="24"/>
          <w:szCs w:val="24"/>
          <w:lang w:val="en"/>
        </w:rPr>
        <w:t>(Sun Young Jang, 2018).</w:t>
      </w:r>
      <w:r w:rsidRPr="00DE697C">
        <w:rPr>
          <w:rStyle w:val="hwtze"/>
          <w:sz w:val="24"/>
          <w:szCs w:val="24"/>
          <w:lang w:val="en"/>
        </w:rPr>
        <w:t xml:space="preserve"> </w:t>
      </w:r>
      <w:r w:rsidRPr="00DE697C">
        <w:rPr>
          <w:rStyle w:val="rynqvb"/>
          <w:sz w:val="24"/>
          <w:szCs w:val="24"/>
          <w:lang w:val="en"/>
        </w:rPr>
        <w:t>According to Murti in 2023 for his research at the Department of Ophthalmology, Faculty of Medicine, University of Lampung, this is because optic nerve injury in the back of indirect TON most often occurs in the optic canal.</w:t>
      </w:r>
      <w:r w:rsidRPr="00DE697C">
        <w:rPr>
          <w:rStyle w:val="hwtze"/>
          <w:sz w:val="24"/>
          <w:szCs w:val="24"/>
          <w:lang w:val="en"/>
        </w:rPr>
        <w:t xml:space="preserve"> </w:t>
      </w:r>
      <w:r w:rsidRPr="00DE697C">
        <w:rPr>
          <w:rStyle w:val="rynqvb"/>
          <w:sz w:val="24"/>
          <w:szCs w:val="24"/>
          <w:lang w:val="en"/>
        </w:rPr>
        <w:t>This area is very susceptible to trauma because the nerves in this section are closely attached to the canal periosteum through the dura tissue.</w:t>
      </w:r>
      <w:r w:rsidRPr="00DE697C">
        <w:rPr>
          <w:rStyle w:val="hwtze"/>
          <w:sz w:val="24"/>
          <w:szCs w:val="24"/>
          <w:lang w:val="en"/>
        </w:rPr>
        <w:t xml:space="preserve"> </w:t>
      </w:r>
      <w:r w:rsidRPr="00DE697C">
        <w:rPr>
          <w:rStyle w:val="rynqvb"/>
          <w:sz w:val="24"/>
          <w:szCs w:val="24"/>
          <w:lang w:val="en"/>
        </w:rPr>
        <w:t>The optic nerve in this location is also more susceptible to damage due to pressure or injury, such as that caused by fractures, hematomas, or swelling</w:t>
      </w:r>
      <w:r w:rsidRPr="00DE697C">
        <w:rPr>
          <w:rStyle w:val="hwtze"/>
          <w:sz w:val="24"/>
          <w:szCs w:val="24"/>
          <w:lang w:val="en"/>
        </w:rPr>
        <w:t xml:space="preserve"> </w:t>
      </w:r>
      <w:r w:rsidRPr="00DE697C">
        <w:rPr>
          <w:rStyle w:val="rynqvb"/>
          <w:sz w:val="24"/>
          <w:szCs w:val="24"/>
          <w:lang w:val="en"/>
        </w:rPr>
        <w:t>(Murti et al., 2023) In Table 5.7 regarding the types of injuries at Ngoerah General Hospital in 2022-2023 regarding the characteristics of TON patients, the most frequent incident was traffic accidents at 68.4%.</w:t>
      </w:r>
      <w:r w:rsidRPr="00DE697C">
        <w:rPr>
          <w:rStyle w:val="hwtze"/>
          <w:sz w:val="24"/>
          <w:szCs w:val="24"/>
          <w:lang w:val="en"/>
        </w:rPr>
        <w:t xml:space="preserve"> </w:t>
      </w:r>
      <w:r w:rsidRPr="00DE697C">
        <w:rPr>
          <w:rStyle w:val="rynqvb"/>
          <w:sz w:val="24"/>
          <w:szCs w:val="24"/>
          <w:lang w:val="en"/>
        </w:rPr>
        <w:t>Similar results were also found in Siyanaki's observation that TON is often associated with frontal (72%) or frontotemporal (12%) craniocerebral injuries where the most common causes are traffic accidents and falls (Siyanaki et al., 2023).</w:t>
      </w:r>
      <w:r w:rsidRPr="00DE697C">
        <w:rPr>
          <w:rStyle w:val="hwtze"/>
          <w:sz w:val="24"/>
          <w:szCs w:val="24"/>
          <w:lang w:val="en"/>
        </w:rPr>
        <w:t xml:space="preserve"> </w:t>
      </w:r>
    </w:p>
    <w:p w14:paraId="04DAA750" w14:textId="77777777" w:rsidR="00DE697C" w:rsidRDefault="00A31BA5" w:rsidP="00DE697C">
      <w:pPr>
        <w:pStyle w:val="BodyText"/>
        <w:tabs>
          <w:tab w:val="left" w:pos="7513"/>
        </w:tabs>
        <w:ind w:right="95" w:firstLine="426"/>
        <w:rPr>
          <w:rStyle w:val="rynqvb"/>
          <w:sz w:val="24"/>
          <w:szCs w:val="24"/>
          <w:lang w:val="en"/>
        </w:rPr>
      </w:pPr>
      <w:r w:rsidRPr="00DE697C">
        <w:rPr>
          <w:rStyle w:val="rynqvb"/>
          <w:sz w:val="24"/>
          <w:szCs w:val="24"/>
          <w:lang w:val="en"/>
        </w:rPr>
        <w:t>However, in his study, Yu Wai Man et al. in 2015 found that in the pediatric population, most TON cases were due to falls (50%) and traffic accidents (40%) (Yu Wai man et al., 2015).</w:t>
      </w:r>
      <w:r w:rsidRPr="00DE697C">
        <w:rPr>
          <w:rStyle w:val="hwtze"/>
          <w:sz w:val="24"/>
          <w:szCs w:val="24"/>
          <w:lang w:val="en"/>
        </w:rPr>
        <w:t xml:space="preserve"> </w:t>
      </w:r>
      <w:r w:rsidRPr="00DE697C">
        <w:rPr>
          <w:rStyle w:val="rynqvb"/>
          <w:sz w:val="24"/>
          <w:szCs w:val="24"/>
          <w:lang w:val="en"/>
        </w:rPr>
        <w:t>Meanwhile, from observations conducted by Rodela Saha et al in 2024 at the Lions Eye Hospital and Institute, Dhaka, Bangladesh, it was found that out of 48 patients, 27 were caused by traffic accidents (RTA), 9 patients were due to assault, 8 people fell from a height and 4 due to other causes.</w:t>
      </w:r>
      <w:r w:rsidRPr="00DE697C">
        <w:rPr>
          <w:rStyle w:val="hwtze"/>
          <w:sz w:val="24"/>
          <w:szCs w:val="24"/>
          <w:lang w:val="en"/>
        </w:rPr>
        <w:t xml:space="preserve"> </w:t>
      </w:r>
      <w:r w:rsidRPr="00DE697C">
        <w:rPr>
          <w:rStyle w:val="rynqvb"/>
          <w:sz w:val="24"/>
          <w:szCs w:val="24"/>
          <w:lang w:val="en"/>
        </w:rPr>
        <w:t>(Rodela Saha et al., 2024).</w:t>
      </w:r>
      <w:r w:rsidRPr="00DE697C">
        <w:rPr>
          <w:rStyle w:val="hwtze"/>
          <w:sz w:val="24"/>
          <w:szCs w:val="24"/>
          <w:lang w:val="en"/>
        </w:rPr>
        <w:t xml:space="preserve"> </w:t>
      </w:r>
      <w:r w:rsidRPr="00DE697C">
        <w:rPr>
          <w:rStyle w:val="rynqvb"/>
          <w:sz w:val="24"/>
          <w:szCs w:val="24"/>
          <w:lang w:val="en"/>
        </w:rPr>
        <w:t>Another study by Sujithra et al. showed that out of 34 patients whose 36 eyes were studied, three (8.8%) patients were female and 31 (91.2%) patients were male.</w:t>
      </w:r>
      <w:r w:rsidRPr="00DE697C">
        <w:rPr>
          <w:rStyle w:val="hwtze"/>
          <w:sz w:val="24"/>
          <w:szCs w:val="24"/>
          <w:lang w:val="en"/>
        </w:rPr>
        <w:t xml:space="preserve"> </w:t>
      </w:r>
      <w:r w:rsidRPr="00DE697C">
        <w:rPr>
          <w:rStyle w:val="rynqvb"/>
          <w:sz w:val="24"/>
          <w:szCs w:val="24"/>
          <w:lang w:val="en"/>
        </w:rPr>
        <w:t>The most common form of trauma was traffic accidents (RTA; 91.2%), followed by falls (8.8%) and assaults (2.9%) (Sujithra, H et al., 2023).</w:t>
      </w:r>
      <w:r w:rsidRPr="00DE697C">
        <w:rPr>
          <w:rStyle w:val="hwtze"/>
          <w:sz w:val="24"/>
          <w:szCs w:val="24"/>
          <w:lang w:val="en"/>
        </w:rPr>
        <w:t xml:space="preserve"> </w:t>
      </w:r>
      <w:r w:rsidRPr="00DE697C">
        <w:rPr>
          <w:rStyle w:val="rynqvb"/>
          <w:sz w:val="24"/>
          <w:szCs w:val="24"/>
          <w:lang w:val="en"/>
        </w:rPr>
        <w:t>This is supported by Wijayati's research which explains that because traffic accidents often result in injuries to the head and face area, which is a critical anatomical location for the optic nerve, injuries in this area increase the risk of TON.</w:t>
      </w:r>
      <w:r w:rsidRPr="00DE697C">
        <w:rPr>
          <w:rStyle w:val="hwtze"/>
          <w:sz w:val="24"/>
          <w:szCs w:val="24"/>
          <w:lang w:val="en"/>
        </w:rPr>
        <w:t xml:space="preserve"> </w:t>
      </w:r>
      <w:r w:rsidRPr="00DE697C">
        <w:rPr>
          <w:rStyle w:val="rynqvb"/>
          <w:sz w:val="24"/>
          <w:szCs w:val="24"/>
          <w:lang w:val="en"/>
        </w:rPr>
        <w:t>(Wijayati et al., 2021).</w:t>
      </w:r>
      <w:r w:rsidRPr="00DE697C">
        <w:rPr>
          <w:rStyle w:val="hwtze"/>
          <w:sz w:val="24"/>
          <w:szCs w:val="24"/>
          <w:lang w:val="en"/>
        </w:rPr>
        <w:t xml:space="preserve"> </w:t>
      </w:r>
      <w:r w:rsidRPr="00DE697C">
        <w:rPr>
          <w:rStyle w:val="rynqvb"/>
          <w:sz w:val="24"/>
          <w:szCs w:val="24"/>
          <w:lang w:val="en"/>
        </w:rPr>
        <w:t>Supported by the high use of motorized vehicles, it increases individual exposure to the risk of traffic accidents, which in turn increases the incidence of TON related to these accidents.</w:t>
      </w:r>
      <w:r w:rsidRPr="00DE697C">
        <w:rPr>
          <w:rStyle w:val="hwtze"/>
          <w:sz w:val="24"/>
          <w:szCs w:val="24"/>
          <w:lang w:val="en"/>
        </w:rPr>
        <w:t xml:space="preserve"> </w:t>
      </w:r>
      <w:r w:rsidRPr="00DE697C">
        <w:rPr>
          <w:rStyle w:val="rynqvb"/>
          <w:sz w:val="24"/>
          <w:szCs w:val="24"/>
          <w:lang w:val="en"/>
        </w:rPr>
        <w:t>(Arvyan F et al., 2021).</w:t>
      </w:r>
      <w:r w:rsidRPr="00DE697C">
        <w:rPr>
          <w:rStyle w:val="hwtze"/>
          <w:sz w:val="24"/>
          <w:szCs w:val="24"/>
          <w:lang w:val="en"/>
        </w:rPr>
        <w:t xml:space="preserve"> </w:t>
      </w:r>
      <w:r w:rsidRPr="00DE697C">
        <w:rPr>
          <w:rStyle w:val="rynqvb"/>
          <w:sz w:val="24"/>
          <w:szCs w:val="24"/>
          <w:lang w:val="en"/>
        </w:rPr>
        <w:t>Although not many journals have specifically examined the relationship between helmet use and TON prevention, there is a prospective study of active military personnel and veterans identifying that military paratroopers are a high-risk group for mild head injuries and undiagnosed TON and in their research emphasizes the importance of collaboration and development of safer helmet designs to reduce and prevent head injuries and TON among military personnel.</w:t>
      </w:r>
      <w:r w:rsidRPr="00DE697C">
        <w:rPr>
          <w:rStyle w:val="hwtze"/>
          <w:sz w:val="24"/>
          <w:szCs w:val="24"/>
          <w:lang w:val="en"/>
        </w:rPr>
        <w:t xml:space="preserve"> </w:t>
      </w:r>
      <w:r w:rsidRPr="00DE697C">
        <w:rPr>
          <w:rStyle w:val="rynqvb"/>
          <w:sz w:val="24"/>
          <w:szCs w:val="24"/>
          <w:lang w:val="en"/>
        </w:rPr>
        <w:t>This can be attributed to the fact that helmets can reduce the risk of head injury in general in reducing the risk of head and facial injuries that can cause Traumatic Optic Neuropathy (TON)</w:t>
      </w:r>
      <w:r w:rsidRPr="00DE697C">
        <w:rPr>
          <w:rStyle w:val="hwtze"/>
          <w:sz w:val="24"/>
          <w:szCs w:val="24"/>
          <w:lang w:val="en"/>
        </w:rPr>
        <w:t xml:space="preserve"> </w:t>
      </w:r>
      <w:r w:rsidRPr="00DE697C">
        <w:rPr>
          <w:rStyle w:val="rynqvb"/>
          <w:sz w:val="24"/>
          <w:szCs w:val="24"/>
          <w:lang w:val="en"/>
        </w:rPr>
        <w:t>(Zwerling CS et al., 2022).</w:t>
      </w:r>
    </w:p>
    <w:p w14:paraId="10727038" w14:textId="53514F19" w:rsidR="00A31BA5" w:rsidRDefault="00A31BA5" w:rsidP="00DE697C">
      <w:pPr>
        <w:pStyle w:val="BodyText"/>
        <w:tabs>
          <w:tab w:val="left" w:pos="7513"/>
        </w:tabs>
        <w:ind w:right="95" w:firstLine="426"/>
        <w:rPr>
          <w:rStyle w:val="rynqvb"/>
          <w:sz w:val="24"/>
          <w:szCs w:val="24"/>
          <w:lang w:val="en"/>
        </w:rPr>
      </w:pPr>
      <w:r w:rsidRPr="00DE697C">
        <w:rPr>
          <w:rStyle w:val="rynqvb"/>
          <w:sz w:val="24"/>
          <w:szCs w:val="24"/>
          <w:lang w:val="en"/>
        </w:rPr>
        <w:t>Characteristics of TON patients based on management at Ngoerah General Hospital in 2022-2023, steroids were used most often, namely in 9 cases (47.4%).</w:t>
      </w:r>
      <w:r w:rsidRPr="00DE697C">
        <w:rPr>
          <w:rStyle w:val="hwtze"/>
          <w:sz w:val="24"/>
          <w:szCs w:val="24"/>
          <w:lang w:val="en"/>
        </w:rPr>
        <w:t xml:space="preserve"> </w:t>
      </w:r>
      <w:r w:rsidRPr="00DE697C">
        <w:rPr>
          <w:rStyle w:val="rynqvb"/>
          <w:sz w:val="24"/>
          <w:szCs w:val="24"/>
          <w:lang w:val="en"/>
        </w:rPr>
        <w:t>In a study conducted by Yu Wai man et al., 2015 et al., three of six patients who were given corticosteroids after injury experienced visual recovery after 6 hours. It was reported that there was no significant difference in the outcomes of patients who received steroids and other patients who received surgery.</w:t>
      </w:r>
      <w:r w:rsidRPr="00DE697C">
        <w:rPr>
          <w:rStyle w:val="hwtze"/>
          <w:sz w:val="24"/>
          <w:szCs w:val="24"/>
          <w:lang w:val="en"/>
        </w:rPr>
        <w:t xml:space="preserve"> </w:t>
      </w:r>
      <w:r w:rsidRPr="00DE697C">
        <w:rPr>
          <w:rStyle w:val="rynqvb"/>
          <w:sz w:val="24"/>
          <w:szCs w:val="24"/>
          <w:lang w:val="en"/>
        </w:rPr>
        <w:t>However, they realized that the rate of improvement was much faster in those who received steroids.</w:t>
      </w:r>
      <w:r w:rsidRPr="00DE697C">
        <w:rPr>
          <w:rStyle w:val="hwtze"/>
          <w:sz w:val="24"/>
          <w:szCs w:val="24"/>
          <w:lang w:val="en"/>
        </w:rPr>
        <w:t xml:space="preserve"> </w:t>
      </w:r>
      <w:r w:rsidRPr="00DE697C">
        <w:rPr>
          <w:rStyle w:val="rynqvb"/>
          <w:sz w:val="24"/>
          <w:szCs w:val="24"/>
          <w:lang w:val="en"/>
        </w:rPr>
        <w:t>According to Siyanaki et al., there is experimental evidence that high-dose corticosteroids have an antioxidant effect so that they can prevent further injury after TON, namely having a more significant effect than low doses in stopping the inflammatory cascade that causes optic nerve edema.</w:t>
      </w:r>
      <w:r w:rsidRPr="00DE697C">
        <w:rPr>
          <w:rStyle w:val="hwtze"/>
          <w:sz w:val="24"/>
          <w:szCs w:val="24"/>
          <w:lang w:val="en"/>
        </w:rPr>
        <w:t xml:space="preserve"> </w:t>
      </w:r>
      <w:r w:rsidRPr="00DE697C">
        <w:rPr>
          <w:rStyle w:val="rynqvb"/>
          <w:sz w:val="24"/>
          <w:szCs w:val="24"/>
          <w:lang w:val="en"/>
        </w:rPr>
        <w:t>(Siyanaki et al., 2023).</w:t>
      </w:r>
      <w:r w:rsidRPr="00DE697C">
        <w:rPr>
          <w:rStyle w:val="hwtze"/>
          <w:sz w:val="24"/>
          <w:szCs w:val="24"/>
          <w:lang w:val="en"/>
        </w:rPr>
        <w:t xml:space="preserve"> </w:t>
      </w:r>
      <w:r w:rsidRPr="00DE697C">
        <w:rPr>
          <w:rStyle w:val="rynqvb"/>
          <w:sz w:val="24"/>
          <w:szCs w:val="24"/>
          <w:lang w:val="en"/>
        </w:rPr>
        <w:t>In a Blanch survey of 42 major trauma cases internationally, 64% routinely gave systemic corticosteroids for TON in doses and durations that varied widely.</w:t>
      </w:r>
      <w:r w:rsidRPr="00DE697C">
        <w:rPr>
          <w:rStyle w:val="hwtze"/>
          <w:sz w:val="24"/>
          <w:szCs w:val="24"/>
          <w:lang w:val="en"/>
        </w:rPr>
        <w:t xml:space="preserve"> </w:t>
      </w:r>
      <w:r w:rsidRPr="00DE697C">
        <w:rPr>
          <w:rStyle w:val="rynqvb"/>
          <w:sz w:val="24"/>
          <w:szCs w:val="24"/>
          <w:lang w:val="en"/>
        </w:rPr>
        <w:t>(Blanch, R. J et al., 2024).</w:t>
      </w:r>
      <w:r w:rsidRPr="00DE697C">
        <w:rPr>
          <w:rStyle w:val="hwtze"/>
          <w:sz w:val="24"/>
          <w:szCs w:val="24"/>
          <w:lang w:val="en"/>
        </w:rPr>
        <w:t xml:space="preserve"> </w:t>
      </w:r>
      <w:r w:rsidRPr="00DE697C">
        <w:rPr>
          <w:rStyle w:val="rynqvb"/>
          <w:sz w:val="24"/>
          <w:szCs w:val="24"/>
          <w:lang w:val="en"/>
        </w:rPr>
        <w:t>The American Academy of Ophthalmology states that high-dose corticosteroid therapy is often used within the first 8 hours after injury, although its effectiveness is still debated.</w:t>
      </w:r>
      <w:r w:rsidRPr="00DE697C">
        <w:rPr>
          <w:rStyle w:val="hwtze"/>
          <w:sz w:val="24"/>
          <w:szCs w:val="24"/>
          <w:lang w:val="en"/>
        </w:rPr>
        <w:t xml:space="preserve"> </w:t>
      </w:r>
      <w:r w:rsidRPr="00DE697C">
        <w:rPr>
          <w:rStyle w:val="rynqvb"/>
          <w:sz w:val="24"/>
          <w:szCs w:val="24"/>
          <w:lang w:val="en"/>
        </w:rPr>
        <w:t>Some studies suggest that delaying treatment may reduce the chances of visual recovery.</w:t>
      </w:r>
    </w:p>
    <w:p w14:paraId="71546445" w14:textId="77777777" w:rsidR="00DE697C" w:rsidRPr="00DE697C" w:rsidRDefault="00DE697C" w:rsidP="00DE697C">
      <w:pPr>
        <w:pStyle w:val="BodyText"/>
        <w:tabs>
          <w:tab w:val="left" w:pos="7513"/>
        </w:tabs>
        <w:ind w:right="95" w:firstLine="426"/>
        <w:rPr>
          <w:sz w:val="24"/>
          <w:szCs w:val="24"/>
        </w:rPr>
      </w:pPr>
    </w:p>
    <w:p w14:paraId="70B2720F" w14:textId="70C702EB" w:rsidR="006327E4" w:rsidRPr="00DE697C" w:rsidRDefault="00CB5E53" w:rsidP="00DE697C">
      <w:pPr>
        <w:pStyle w:val="Heading2"/>
        <w:tabs>
          <w:tab w:val="left" w:pos="717"/>
          <w:tab w:val="left" w:pos="7513"/>
        </w:tabs>
        <w:ind w:left="0" w:right="95" w:firstLine="0"/>
        <w:jc w:val="both"/>
        <w:rPr>
          <w:sz w:val="24"/>
          <w:szCs w:val="24"/>
        </w:rPr>
      </w:pPr>
      <w:r w:rsidRPr="00DE697C">
        <w:rPr>
          <w:spacing w:val="-8"/>
          <w:sz w:val="24"/>
          <w:szCs w:val="24"/>
        </w:rPr>
        <w:t>CONCLUSIONS</w:t>
      </w:r>
      <w:r w:rsidRPr="00DE697C">
        <w:rPr>
          <w:spacing w:val="-4"/>
          <w:sz w:val="24"/>
          <w:szCs w:val="24"/>
        </w:rPr>
        <w:t xml:space="preserve"> </w:t>
      </w:r>
    </w:p>
    <w:p w14:paraId="4D89D3B6" w14:textId="77777777" w:rsidR="00DE697C" w:rsidRDefault="00DE697C" w:rsidP="00DE697C">
      <w:pPr>
        <w:pStyle w:val="BodyText"/>
        <w:tabs>
          <w:tab w:val="left" w:pos="7513"/>
        </w:tabs>
        <w:ind w:right="95" w:firstLine="357"/>
        <w:rPr>
          <w:sz w:val="24"/>
          <w:szCs w:val="24"/>
        </w:rPr>
      </w:pPr>
    </w:p>
    <w:p w14:paraId="362E204C" w14:textId="77777777" w:rsidR="00DE697C" w:rsidRDefault="00DC7EB4" w:rsidP="00DE697C">
      <w:pPr>
        <w:pStyle w:val="BodyText"/>
        <w:tabs>
          <w:tab w:val="left" w:pos="7513"/>
        </w:tabs>
        <w:ind w:right="95" w:firstLine="426"/>
        <w:rPr>
          <w:sz w:val="24"/>
          <w:szCs w:val="24"/>
        </w:rPr>
      </w:pPr>
      <w:r w:rsidRPr="00DE697C">
        <w:rPr>
          <w:sz w:val="24"/>
          <w:szCs w:val="24"/>
        </w:rPr>
        <w:t>Traumatic Optic Neuropathy (TON) is a significant yet uncommon condition that severely impacts visual function</w:t>
      </w:r>
      <w:r w:rsidR="00D15337" w:rsidRPr="00DE697C">
        <w:rPr>
          <w:sz w:val="24"/>
          <w:szCs w:val="24"/>
        </w:rPr>
        <w:t>.</w:t>
      </w:r>
      <w:r w:rsidRPr="00DE697C">
        <w:rPr>
          <w:sz w:val="24"/>
          <w:szCs w:val="24"/>
        </w:rPr>
        <w:t xml:space="preserve"> typically resulting from craniofacial trauma caused by direct or indirect injuries. This study at RSUP Prof. Dr. I.G.N.G. Ngoerah Denpasar during 2022–2023 revealed that most patients were male (94.7%) and primarily within the productive age range of 19–59 years. Traffic accidents emerged as the leading mechanism of trauma (68.4%)</w:t>
      </w:r>
      <w:r w:rsidR="00D15337" w:rsidRPr="00DE697C">
        <w:rPr>
          <w:sz w:val="24"/>
          <w:szCs w:val="24"/>
        </w:rPr>
        <w:t>.</w:t>
      </w:r>
      <w:r w:rsidRPr="00DE697C">
        <w:rPr>
          <w:sz w:val="24"/>
          <w:szCs w:val="24"/>
        </w:rPr>
        <w:t xml:space="preserve"> with craniofacial injuries</w:t>
      </w:r>
      <w:r w:rsidR="00D15337" w:rsidRPr="00DE697C">
        <w:rPr>
          <w:sz w:val="24"/>
          <w:szCs w:val="24"/>
        </w:rPr>
        <w:t>.</w:t>
      </w:r>
      <w:r w:rsidRPr="00DE697C">
        <w:rPr>
          <w:sz w:val="24"/>
          <w:szCs w:val="24"/>
        </w:rPr>
        <w:t xml:space="preserve"> including maxillofacial fractures</w:t>
      </w:r>
      <w:r w:rsidR="00D15337" w:rsidRPr="00DE697C">
        <w:rPr>
          <w:sz w:val="24"/>
          <w:szCs w:val="24"/>
        </w:rPr>
        <w:t>.</w:t>
      </w:r>
      <w:r w:rsidRPr="00DE697C">
        <w:rPr>
          <w:sz w:val="24"/>
          <w:szCs w:val="24"/>
        </w:rPr>
        <w:t xml:space="preserve"> being the most common type (42.1%). Visual acuity outcomes demonstrated notable variability</w:t>
      </w:r>
      <w:r w:rsidR="00D15337" w:rsidRPr="00DE697C">
        <w:rPr>
          <w:sz w:val="24"/>
          <w:szCs w:val="24"/>
        </w:rPr>
        <w:t>.</w:t>
      </w:r>
      <w:r w:rsidRPr="00DE697C">
        <w:rPr>
          <w:sz w:val="24"/>
          <w:szCs w:val="24"/>
        </w:rPr>
        <w:t xml:space="preserve"> with a majority of cases classified within the 6/60 to 1/60 range (31.6%). Steroid therapy was the primary management approach</w:t>
      </w:r>
      <w:r w:rsidR="00D15337" w:rsidRPr="00DE697C">
        <w:rPr>
          <w:sz w:val="24"/>
          <w:szCs w:val="24"/>
        </w:rPr>
        <w:t>.</w:t>
      </w:r>
      <w:r w:rsidRPr="00DE697C">
        <w:rPr>
          <w:sz w:val="24"/>
          <w:szCs w:val="24"/>
        </w:rPr>
        <w:t xml:space="preserve"> although its effectiveness and long-term benefits require further investigation.</w:t>
      </w:r>
    </w:p>
    <w:p w14:paraId="7AA884EA" w14:textId="7E9506AD" w:rsidR="00DC7EB4" w:rsidRPr="00DE697C" w:rsidRDefault="00DC7EB4" w:rsidP="00DE697C">
      <w:pPr>
        <w:pStyle w:val="BodyText"/>
        <w:tabs>
          <w:tab w:val="left" w:pos="7513"/>
        </w:tabs>
        <w:ind w:right="95" w:firstLine="426"/>
        <w:rPr>
          <w:sz w:val="24"/>
          <w:szCs w:val="24"/>
        </w:rPr>
      </w:pPr>
      <w:r w:rsidRPr="00DE697C">
        <w:rPr>
          <w:sz w:val="24"/>
          <w:szCs w:val="24"/>
        </w:rPr>
        <w:t>To improve the understanding and management of TON</w:t>
      </w:r>
      <w:r w:rsidR="00D15337" w:rsidRPr="00DE697C">
        <w:rPr>
          <w:sz w:val="24"/>
          <w:szCs w:val="24"/>
        </w:rPr>
        <w:t>.</w:t>
      </w:r>
      <w:r w:rsidRPr="00DE697C">
        <w:rPr>
          <w:sz w:val="24"/>
          <w:szCs w:val="24"/>
        </w:rPr>
        <w:t xml:space="preserve"> several recommendations are proposed. Standardized protocols for diagnosing and managing TON should be developed to ensure timely and individualized treatment strategies. Further large-scale</w:t>
      </w:r>
      <w:r w:rsidR="00D15337" w:rsidRPr="00DE697C">
        <w:rPr>
          <w:sz w:val="24"/>
          <w:szCs w:val="24"/>
        </w:rPr>
        <w:t>.</w:t>
      </w:r>
      <w:r w:rsidRPr="00DE697C">
        <w:rPr>
          <w:sz w:val="24"/>
          <w:szCs w:val="24"/>
        </w:rPr>
        <w:t xml:space="preserve"> multi-center studies are needed to explore the correlation between initial and final visual outcomes and TON classifications (direct vs. indirect)</w:t>
      </w:r>
      <w:r w:rsidR="00D15337" w:rsidRPr="00DE697C">
        <w:rPr>
          <w:sz w:val="24"/>
          <w:szCs w:val="24"/>
        </w:rPr>
        <w:t>.</w:t>
      </w:r>
      <w:r w:rsidRPr="00DE697C">
        <w:rPr>
          <w:sz w:val="24"/>
          <w:szCs w:val="24"/>
        </w:rPr>
        <w:t xml:space="preserve"> factoring in variables such as age</w:t>
      </w:r>
      <w:r w:rsidR="00D15337" w:rsidRPr="00DE697C">
        <w:rPr>
          <w:sz w:val="24"/>
          <w:szCs w:val="24"/>
        </w:rPr>
        <w:t>.</w:t>
      </w:r>
      <w:r w:rsidRPr="00DE697C">
        <w:rPr>
          <w:sz w:val="24"/>
          <w:szCs w:val="24"/>
        </w:rPr>
        <w:t xml:space="preserve"> trauma mechanism</w:t>
      </w:r>
      <w:r w:rsidR="00D15337" w:rsidRPr="00DE697C">
        <w:rPr>
          <w:sz w:val="24"/>
          <w:szCs w:val="24"/>
        </w:rPr>
        <w:t>.</w:t>
      </w:r>
      <w:r w:rsidRPr="00DE697C">
        <w:rPr>
          <w:sz w:val="24"/>
          <w:szCs w:val="24"/>
        </w:rPr>
        <w:t xml:space="preserve"> and injury type. Educational campaigns focusing on injury prevention</w:t>
      </w:r>
      <w:r w:rsidR="00D15337" w:rsidRPr="00DE697C">
        <w:rPr>
          <w:sz w:val="24"/>
          <w:szCs w:val="24"/>
        </w:rPr>
        <w:t>.</w:t>
      </w:r>
      <w:r w:rsidRPr="00DE697C">
        <w:rPr>
          <w:sz w:val="24"/>
          <w:szCs w:val="24"/>
        </w:rPr>
        <w:t xml:space="preserve"> particularly traffic-related trauma</w:t>
      </w:r>
      <w:r w:rsidR="00D15337" w:rsidRPr="00DE697C">
        <w:rPr>
          <w:sz w:val="24"/>
          <w:szCs w:val="24"/>
        </w:rPr>
        <w:t>.</w:t>
      </w:r>
      <w:r w:rsidRPr="00DE697C">
        <w:rPr>
          <w:sz w:val="24"/>
          <w:szCs w:val="24"/>
        </w:rPr>
        <w:t xml:space="preserve"> should emphasize the use of safety equipment and adherence to traffic regulations. Additionally</w:t>
      </w:r>
      <w:r w:rsidR="00D15337" w:rsidRPr="00DE697C">
        <w:rPr>
          <w:sz w:val="24"/>
          <w:szCs w:val="24"/>
        </w:rPr>
        <w:t>.</w:t>
      </w:r>
      <w:r w:rsidRPr="00DE697C">
        <w:rPr>
          <w:sz w:val="24"/>
          <w:szCs w:val="24"/>
        </w:rPr>
        <w:t xml:space="preserve"> hospitals must enhance access to advanced diagnostic tools such as MRI and facilitate timely referrals to specialized centers for comprehensive management. These efforts aim to improve patient outcomes and guide future research in the field of TON.</w:t>
      </w:r>
    </w:p>
    <w:p w14:paraId="3C1388B7" w14:textId="2299CA6B" w:rsidR="000C6C7B" w:rsidRDefault="000C6C7B" w:rsidP="00DE697C">
      <w:pPr>
        <w:pStyle w:val="Heading2"/>
        <w:tabs>
          <w:tab w:val="left" w:pos="7513"/>
        </w:tabs>
        <w:ind w:left="0" w:right="95" w:firstLine="0"/>
        <w:jc w:val="both"/>
        <w:rPr>
          <w:spacing w:val="-2"/>
          <w:sz w:val="24"/>
          <w:szCs w:val="24"/>
        </w:rPr>
      </w:pPr>
    </w:p>
    <w:p w14:paraId="3C1D8E84" w14:textId="77777777" w:rsidR="00DE697C" w:rsidRPr="00DE697C" w:rsidRDefault="00DE697C" w:rsidP="00DE697C">
      <w:pPr>
        <w:rPr>
          <w:rFonts w:eastAsia="Arial"/>
          <w:b/>
          <w:noProof/>
          <w:sz w:val="24"/>
          <w:szCs w:val="24"/>
          <w:lang w:val="id-ID"/>
        </w:rPr>
      </w:pPr>
      <w:r w:rsidRPr="00DE697C">
        <w:rPr>
          <w:rFonts w:eastAsia="Arial"/>
          <w:b/>
          <w:noProof/>
          <w:sz w:val="24"/>
          <w:szCs w:val="24"/>
          <w:lang w:val="id-ID"/>
        </w:rPr>
        <w:t>ACKNOWLEDGMENT</w:t>
      </w:r>
    </w:p>
    <w:p w14:paraId="54F132B2" w14:textId="77777777" w:rsidR="00DE697C" w:rsidRPr="00DE697C" w:rsidRDefault="00DE697C" w:rsidP="00DE697C">
      <w:pPr>
        <w:rPr>
          <w:rFonts w:eastAsia="Arial"/>
          <w:b/>
          <w:noProof/>
          <w:sz w:val="24"/>
          <w:szCs w:val="24"/>
          <w:lang w:val="id-ID"/>
        </w:rPr>
      </w:pPr>
    </w:p>
    <w:p w14:paraId="4432C136" w14:textId="77777777" w:rsidR="00DE697C" w:rsidRPr="00DE697C" w:rsidRDefault="00DE697C" w:rsidP="00DE697C">
      <w:pPr>
        <w:pStyle w:val="HTMLPreformatted"/>
        <w:shd w:val="clear" w:color="auto" w:fill="F8F9FA"/>
        <w:ind w:firstLine="426"/>
        <w:jc w:val="both"/>
        <w:rPr>
          <w:rFonts w:ascii="Times New Roman" w:hAnsi="Times New Roman" w:cs="Times New Roman"/>
          <w:sz w:val="24"/>
          <w:szCs w:val="24"/>
        </w:rPr>
      </w:pPr>
      <w:r w:rsidRPr="00DE697C">
        <w:rPr>
          <w:rStyle w:val="y2iqfc"/>
          <w:rFonts w:ascii="Times New Roman" w:hAnsi="Times New Roman" w:cs="Times New Roman"/>
          <w:sz w:val="24"/>
          <w:szCs w:val="24"/>
          <w:lang w:val="en"/>
        </w:rPr>
        <w:t>The researcher would like to express his gratitude for the support, inspiration and assistance to all parties in helping the researcher complete this research, including the participants who were willing to participate in the research until it was completed.</w:t>
      </w:r>
    </w:p>
    <w:p w14:paraId="00F7374D" w14:textId="77777777" w:rsidR="00DE697C" w:rsidRPr="00DE697C" w:rsidRDefault="00DE697C" w:rsidP="00DE697C">
      <w:pPr>
        <w:pStyle w:val="Heading2"/>
        <w:tabs>
          <w:tab w:val="left" w:pos="7513"/>
        </w:tabs>
        <w:ind w:left="0" w:right="95" w:firstLine="0"/>
        <w:jc w:val="both"/>
        <w:rPr>
          <w:spacing w:val="-2"/>
          <w:sz w:val="24"/>
          <w:szCs w:val="24"/>
        </w:rPr>
      </w:pPr>
    </w:p>
    <w:p w14:paraId="2DFFEE35" w14:textId="606FCCE0" w:rsidR="006327E4" w:rsidRPr="00DE697C" w:rsidRDefault="00CB5E53" w:rsidP="00DE697C">
      <w:pPr>
        <w:pStyle w:val="Heading2"/>
        <w:tabs>
          <w:tab w:val="left" w:pos="7513"/>
        </w:tabs>
        <w:ind w:left="0" w:right="95" w:firstLine="0"/>
        <w:jc w:val="both"/>
        <w:rPr>
          <w:sz w:val="24"/>
          <w:szCs w:val="24"/>
        </w:rPr>
      </w:pPr>
      <w:r w:rsidRPr="00DE697C">
        <w:rPr>
          <w:spacing w:val="-2"/>
          <w:sz w:val="24"/>
          <w:szCs w:val="24"/>
        </w:rPr>
        <w:t>REFERENCES</w:t>
      </w:r>
    </w:p>
    <w:p w14:paraId="0520B37C" w14:textId="77777777" w:rsidR="00A43346" w:rsidRPr="00DE697C" w:rsidRDefault="00A43346" w:rsidP="00DE697C">
      <w:pPr>
        <w:tabs>
          <w:tab w:val="left" w:pos="766"/>
          <w:tab w:val="left" w:pos="7513"/>
        </w:tabs>
        <w:ind w:right="95"/>
        <w:jc w:val="both"/>
        <w:rPr>
          <w:sz w:val="24"/>
          <w:szCs w:val="24"/>
        </w:rPr>
      </w:pPr>
    </w:p>
    <w:p w14:paraId="5292507F"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Adesina, O., &amp; Patel, B. C. (2023). Optic Nerve Decompression. </w:t>
      </w:r>
      <w:r w:rsidRPr="00DE697C">
        <w:rPr>
          <w:i/>
          <w:iCs/>
          <w:sz w:val="24"/>
          <w:szCs w:val="24"/>
        </w:rPr>
        <w:t>In StatPearls</w:t>
      </w:r>
      <w:r w:rsidRPr="00DE697C">
        <w:rPr>
          <w:sz w:val="24"/>
          <w:szCs w:val="24"/>
        </w:rPr>
        <w:t xml:space="preserve">. StatPearls Publishing. Retrieved from </w:t>
      </w:r>
      <w:hyperlink r:id="rId9" w:history="1">
        <w:r w:rsidRPr="00DE697C">
          <w:rPr>
            <w:rStyle w:val="Hyperlink"/>
            <w:color w:val="auto"/>
            <w:sz w:val="24"/>
            <w:szCs w:val="24"/>
            <w:u w:val="none"/>
          </w:rPr>
          <w:t>https://www.ncbi.nlm.nih.gov/books/NBK538300/</w:t>
        </w:r>
      </w:hyperlink>
    </w:p>
    <w:p w14:paraId="5226F7AB"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Arvyan, F., Widyandana, Mahayana, I. T., &amp; Supanji. (2021). Karakteristik pasien, tatalaksana, dan hasil neuropati optik traumatis sub bagian neuro-oftalmologi Rumah Sakit Pendidikan Dr. Sardjito, Yogyakarta, Indonesia 2015-2018. </w:t>
      </w:r>
      <w:r w:rsidRPr="00DE697C">
        <w:rPr>
          <w:i/>
          <w:iCs/>
          <w:sz w:val="24"/>
          <w:szCs w:val="24"/>
        </w:rPr>
        <w:t>Universitas Gadjah Mada.</w:t>
      </w:r>
      <w:r w:rsidRPr="00DE697C">
        <w:rPr>
          <w:sz w:val="24"/>
          <w:szCs w:val="24"/>
        </w:rPr>
        <w:t xml:space="preserve"> Diunduh dari </w:t>
      </w:r>
      <w:hyperlink r:id="rId10" w:history="1">
        <w:r w:rsidRPr="00DE697C">
          <w:rPr>
            <w:sz w:val="24"/>
            <w:szCs w:val="24"/>
          </w:rPr>
          <w:t>http://etd.repository.ugm.ac.id</w:t>
        </w:r>
      </w:hyperlink>
      <w:r w:rsidRPr="00DE697C">
        <w:rPr>
          <w:sz w:val="24"/>
          <w:szCs w:val="24"/>
        </w:rPr>
        <w:t>.</w:t>
      </w:r>
    </w:p>
    <w:p w14:paraId="3BF84BAA"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Babu, G R, Manjula B, dan Kumar M S. (2021). Visual Outcome in Patients with  Traumatic Optic Neuropathy. Indian J Clin Exp Ophthalmol, 7(1):92-95.  </w:t>
      </w:r>
    </w:p>
    <w:p w14:paraId="3F7B8BDB"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Bastakis, George &amp; Ktena, Niki &amp; Karagogeos, Domna &amp; Savvaki, dan Maria.  (2019). Models and Treatments for Traumatic Optic Neuropathy and Demyelinating Optic Neuritis. Developmental Neurobiology, 79. doi:  10.1002/dneu.22710.  </w:t>
      </w:r>
    </w:p>
    <w:p w14:paraId="01B114E6"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Bennett JL. Optic Neuritis. Contin Minneap Minn. 2019 Oct;25(5):1236–64. </w:t>
      </w:r>
    </w:p>
    <w:p w14:paraId="017B61D9"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Blanch, R. J., Joseph, I. J., &amp; Cockerham, K. (2024). Traumatic optic neuropathy management: a systematic review. In Eye (Basingstoke) (Vol. 38, Issue 12, pp. 2312–2318). Springer Nature. https://doi.org/10.1038/s41433-024-03129-7 </w:t>
      </w:r>
    </w:p>
    <w:p w14:paraId="75656E57"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Chen, Bin, Hengsen Zhang, Qing Zhai, Huaipeng Li, Chunxia Wang, dan Yong  Wang. (2022). Traumatic Optic Neuropathy: A Review of Current Studies. Neurosurg Rev., 45(3). doi: https://doi.org/10.1007/s10143-021-01717-9.  </w:t>
      </w:r>
    </w:p>
    <w:p w14:paraId="4F46EC65" w14:textId="206E2D75" w:rsidR="00A43346" w:rsidRPr="00DE697C" w:rsidRDefault="00A43346" w:rsidP="00DE697C">
      <w:pPr>
        <w:tabs>
          <w:tab w:val="left" w:pos="7513"/>
        </w:tabs>
        <w:ind w:left="426" w:right="95" w:hanging="426"/>
        <w:jc w:val="both"/>
        <w:rPr>
          <w:sz w:val="24"/>
          <w:szCs w:val="24"/>
        </w:rPr>
      </w:pPr>
      <w:r w:rsidRPr="00DE697C">
        <w:rPr>
          <w:sz w:val="24"/>
          <w:szCs w:val="24"/>
        </w:rPr>
        <w:t>Daniel, Hisar, Syntia Nusanti, dan M Sidik. (2018). Karakteristik, Hasil Terapi dan  Prediktor Keberhasilan Terapi Pasien Ne</w:t>
      </w:r>
      <w:r w:rsidR="00DE697C">
        <w:rPr>
          <w:sz w:val="24"/>
          <w:szCs w:val="24"/>
        </w:rPr>
        <w:t xml:space="preserve">uropatik Optik Traumatik (NOT) Divisi  Neurooflatmolog  Rumah  Sakit  </w:t>
      </w:r>
      <w:r w:rsidRPr="00DE697C">
        <w:rPr>
          <w:sz w:val="24"/>
          <w:szCs w:val="24"/>
        </w:rPr>
        <w:t>Cipto M</w:t>
      </w:r>
      <w:r w:rsidR="00DE697C">
        <w:rPr>
          <w:sz w:val="24"/>
          <w:szCs w:val="24"/>
        </w:rPr>
        <w:t>angunkusumo.  Ophthalmologica  Indonesiana,</w:t>
      </w:r>
      <w:r w:rsidRPr="00DE697C">
        <w:rPr>
          <w:sz w:val="24"/>
          <w:szCs w:val="24"/>
        </w:rPr>
        <w:t xml:space="preserve">44(1). doi:https://doi.org/10.35749/journal.v44i1.157. </w:t>
      </w:r>
    </w:p>
    <w:p w14:paraId="6EE7C1D2"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Decompression for Traumatic Optic Neuropathy. World Neurosurgery. doi:   10.1016/j.wneu.2020.03.007.  </w:t>
      </w:r>
    </w:p>
    <w:p w14:paraId="3C942219" w14:textId="5AFF3CAC" w:rsidR="00A43346" w:rsidRPr="00DE697C" w:rsidRDefault="00A43346" w:rsidP="00DE697C">
      <w:pPr>
        <w:tabs>
          <w:tab w:val="left" w:pos="7513"/>
        </w:tabs>
        <w:ind w:left="426" w:right="95" w:hanging="426"/>
        <w:jc w:val="both"/>
        <w:rPr>
          <w:sz w:val="24"/>
          <w:szCs w:val="24"/>
        </w:rPr>
      </w:pPr>
      <w:r w:rsidRPr="00DE697C">
        <w:rPr>
          <w:sz w:val="24"/>
          <w:szCs w:val="24"/>
        </w:rPr>
        <w:t xml:space="preserve">Değirmenci, M., Yalçındağ, N., dan Atilla, H. (2018). Optic Nerve Avulsion and Retinal Detachment After Penetrating Ocular Trauma: Case Report. Turkish  </w:t>
      </w:r>
      <w:r w:rsidR="00DE697C">
        <w:rPr>
          <w:sz w:val="24"/>
          <w:szCs w:val="24"/>
        </w:rPr>
        <w:t xml:space="preserve">journal  </w:t>
      </w:r>
      <w:r w:rsidR="00DE697C">
        <w:rPr>
          <w:sz w:val="24"/>
          <w:szCs w:val="24"/>
        </w:rPr>
        <w:tab/>
        <w:t xml:space="preserve">of Ophthalmology,  48(2):  89–91.  </w:t>
      </w:r>
      <w:r w:rsidRPr="00DE697C">
        <w:rPr>
          <w:sz w:val="24"/>
          <w:szCs w:val="24"/>
        </w:rPr>
        <w:t xml:space="preserve">doi:  https://doi.org/10.4274/tjo.31549.  </w:t>
      </w:r>
    </w:p>
    <w:p w14:paraId="19ECEF67"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Emanuelli, E, M Bignami, E Digilio, S Fusetti, T Volo, dan P Castelnuovo. (2015). 47   Post-Traumatic Optic Neuropathy: Our Surgical and Medical Protocol. Eur  Arch Otorhinolaryngol¸ 272(11). doi:   https://doi.org/10.1007/s00405-0143408-5.   </w:t>
      </w:r>
    </w:p>
    <w:p w14:paraId="31A8FF7C"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Gupta M, Ireland AC, Bordoni B. Neuroanatomy, Visual Pathway. (2023). In:  StatPearls [Internet]. Treasure Island (FL): StatPearls Publishing: Jan-  Available from: https://www.ncbi.nlm.nih.gov/books/NBK553189/ </w:t>
      </w:r>
    </w:p>
    <w:p w14:paraId="3B5E134F"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Hathiram, Bachi &amp; Khattar, Vicky &amp; Rode, Supriya. (2011). Traumatic Optic Neuropathy. Otorhinolaryngology Clinics - An International Journal. 3. 188-196. 10.5005/jp-journals-10003-1080.   </w:t>
      </w:r>
    </w:p>
    <w:p w14:paraId="2317A0AE"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Huang, JiaHui, XiaoSi Chen, Zixuan Wang, Shengze Deng, Jian Duan, Guohi Lu, dan Dongwei Zhou. (2020). Selection and Prognosis of Optical Canal  Ilyas S, Yulianti SR. Ilmu penyakit mata, edisi 5. (2015). Jakarta: Badan Penerbit FKUI. p. 1-296  </w:t>
      </w:r>
    </w:p>
    <w:p w14:paraId="5C7C0B07"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Jackson, Ryan S dan James W Giantelli. (2020). Traumatic Optic Neuropathy  Treatment &amp; Management. Otolaryngology and Facial Plastic Surgery.  </w:t>
      </w:r>
    </w:p>
    <w:p w14:paraId="1DBFE0E4"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Jang S. Y. (2018). Traumatic Optic Neuropathy. Korea Jjournal of Neurotrauma,  14(1): 1–5. doi: https://doi.org/10.13004/kjnt.2018.14.1.1  </w:t>
      </w:r>
    </w:p>
    <w:p w14:paraId="65233A08"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Mahayani, Ni Made Widya, Anak Agung Mas Putrawati Triningrat, dan Ida Bagus  Putra Manuaba. (2017). Karakteristik Pasien Traumatik Optik Neuropati (TON) yang mendapatkan Terapi Kortikosteroid Dosis Tinggi dibandingkan dengan Observasi di RSUP Sanglah Denpasar Tahun 2013-2015. Medicina, 48(3).  </w:t>
      </w:r>
    </w:p>
    <w:p w14:paraId="13762F62"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Miller N. R. (2021). Traumatic Optic Neuropathy. Journal of Neurological Surgery.  Part B, Skull base, 82(1): 107–115. https://doi.org/10.1055/s-0040- 1722632.  </w:t>
      </w:r>
    </w:p>
    <w:p w14:paraId="271B9A59" w14:textId="23BD1A1A" w:rsidR="00A43346" w:rsidRPr="00DE697C" w:rsidRDefault="00A43346" w:rsidP="00DE697C">
      <w:pPr>
        <w:tabs>
          <w:tab w:val="left" w:pos="7513"/>
        </w:tabs>
        <w:ind w:left="426" w:right="95" w:hanging="426"/>
        <w:jc w:val="both"/>
        <w:rPr>
          <w:sz w:val="24"/>
          <w:szCs w:val="24"/>
        </w:rPr>
      </w:pPr>
      <w:r w:rsidRPr="00DE697C">
        <w:rPr>
          <w:sz w:val="24"/>
          <w:szCs w:val="24"/>
        </w:rPr>
        <w:t xml:space="preserve">Muhammad Bagus Syaiful Chaeruddin, M. bagus syaiful ch and Istikharoh, U.  </w:t>
      </w:r>
      <w:r w:rsidR="00DE697C">
        <w:rPr>
          <w:sz w:val="24"/>
          <w:szCs w:val="24"/>
        </w:rPr>
        <w:t xml:space="preserve">(2020)  “GAMBARAN  EPIDEMIOLOGI  </w:t>
      </w:r>
      <w:r w:rsidRPr="00DE697C">
        <w:rPr>
          <w:sz w:val="24"/>
          <w:szCs w:val="24"/>
        </w:rPr>
        <w:t xml:space="preserve">KASUS  </w:t>
      </w:r>
      <w:r w:rsidR="00DE697C">
        <w:rPr>
          <w:sz w:val="24"/>
          <w:szCs w:val="24"/>
        </w:rPr>
        <w:t xml:space="preserve">CEDERAKRANIOFASIAL  DI  RSUD  PROVINSI </w:t>
      </w:r>
      <w:r w:rsidRPr="00DE697C">
        <w:rPr>
          <w:sz w:val="24"/>
          <w:szCs w:val="24"/>
        </w:rPr>
        <w:t xml:space="preserve">NTB  PADA SEPTEMBER 2018 â€“ SEPTEMBER 2019”, Jurnal Kedokteran, 9(1), pp. 37–42. doi: 10.29303/jku.v9i1.400.   </w:t>
      </w:r>
    </w:p>
    <w:p w14:paraId="68FD058C"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K Nadya, Anissa. (2017). Traumatic Optic Neuropati, Referat. Program Dokter   Internsip Batch IV RSUD Kota Cilegon.   </w:t>
      </w:r>
    </w:p>
    <w:p w14:paraId="4DCAB50F"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Karimi, S., Arabi, A., Ansari, I., Shahraki, T., &amp; Safi, S. (2021). A Systematic Literature Review on Traumatic Optic Neuropathy. Journal of ophthalmology. doi: https://doi.org/10.1155/2021/5553885.  </w:t>
      </w:r>
    </w:p>
    <w:p w14:paraId="7490DB2F"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Kashkouli, M. B., Pakdel, F., &amp; Sanjari, M. S. (2011). Optic nerve decompression in traumatic optic neuropathy: A systematic review and meta-analysis. </w:t>
      </w:r>
      <w:r w:rsidRPr="00DE697C">
        <w:rPr>
          <w:i/>
          <w:iCs/>
          <w:sz w:val="24"/>
          <w:szCs w:val="24"/>
        </w:rPr>
        <w:t>Caspian Journal of Neurological Sciences</w:t>
      </w:r>
      <w:r w:rsidRPr="00DE697C">
        <w:rPr>
          <w:sz w:val="24"/>
          <w:szCs w:val="24"/>
        </w:rPr>
        <w:t>, 7(1), 1-10.</w:t>
      </w:r>
    </w:p>
    <w:p w14:paraId="74359900"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Kanski J, Bowling B. (2016). Clinical Opthalmology: a Systematic Approach. Edisi ke-8. Australia: Elsevier.  </w:t>
      </w:r>
    </w:p>
    <w:p w14:paraId="473B89AA"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KH, K. (2021). “Protecting the Frontline: An Assessment on the Occupational Factors Contributing to Covid-19 Nosocomial Infections at Levy Mwanawasa University Teaching Hospital, Zambia.” </w:t>
      </w:r>
      <w:r w:rsidRPr="00DE697C">
        <w:rPr>
          <w:i/>
          <w:iCs/>
          <w:sz w:val="24"/>
          <w:szCs w:val="24"/>
        </w:rPr>
        <w:t>Annals of Reviews &amp; Research</w:t>
      </w:r>
      <w:r w:rsidRPr="00DE697C">
        <w:rPr>
          <w:sz w:val="24"/>
          <w:szCs w:val="24"/>
        </w:rPr>
        <w:t xml:space="preserve">, </w:t>
      </w:r>
      <w:r w:rsidRPr="00DE697C">
        <w:rPr>
          <w:i/>
          <w:iCs/>
          <w:sz w:val="24"/>
          <w:szCs w:val="24"/>
        </w:rPr>
        <w:t>6</w:t>
      </w:r>
      <w:r w:rsidRPr="00DE697C">
        <w:rPr>
          <w:sz w:val="24"/>
          <w:szCs w:val="24"/>
        </w:rPr>
        <w:t xml:space="preserve">(5). </w:t>
      </w:r>
      <w:hyperlink r:id="rId11" w:history="1">
        <w:r w:rsidRPr="00DE697C">
          <w:rPr>
            <w:rStyle w:val="Hyperlink"/>
            <w:color w:val="auto"/>
            <w:sz w:val="24"/>
            <w:szCs w:val="24"/>
            <w:u w:val="none"/>
          </w:rPr>
          <w:t>https://doi.org/10.19080/arr.2021.06.555698</w:t>
        </w:r>
      </w:hyperlink>
    </w:p>
    <w:p w14:paraId="521D118E"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Kosaki, Yoshinori, Tetsuya Yumoto, Hiromichi Naito, Nobushige Tsuboi, Masahiro  Kameda, Masayuki Hirano, dan Atsunori Nakao. (2018). Traumatic Globe  Luxation with Complete Optic Nerve Transection Caused by Heavy Object Compression. Acta Med Okayama, 72(1): 85-88. doi: 10.18926/AMO/55669.  </w:t>
      </w:r>
    </w:p>
    <w:p w14:paraId="40374369"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Kumaran AM, Sundar G, Chye LT. Traumatic optic neuropathy: a review. Craniomaxillofac. CederaReconstr. 2015 Mar;8(1):31-41. doi: 10.1055/s-00341393734.  </w:t>
      </w:r>
    </w:p>
    <w:p w14:paraId="2321F048" w14:textId="77777777" w:rsidR="00A43346" w:rsidRPr="00DE697C" w:rsidRDefault="00A43346" w:rsidP="00DE697C">
      <w:pPr>
        <w:tabs>
          <w:tab w:val="left" w:pos="7513"/>
        </w:tabs>
        <w:ind w:left="426" w:right="95" w:hanging="426"/>
        <w:jc w:val="both"/>
        <w:rPr>
          <w:sz w:val="24"/>
          <w:szCs w:val="24"/>
        </w:rPr>
      </w:pPr>
      <w:r w:rsidRPr="00DE697C">
        <w:rPr>
          <w:sz w:val="24"/>
          <w:szCs w:val="24"/>
        </w:rPr>
        <w:t>Kyncl, M., Lestak, J., Tintera, J., &amp; Haninec, P. (2019). Traumatic optic neuropathy</w:t>
      </w:r>
      <w:r w:rsidRPr="00DE697C">
        <w:rPr>
          <w:sz w:val="24"/>
          <w:szCs w:val="24"/>
        </w:rPr>
        <w:noBreakHyphen/>
        <w:t>a contralateral finding: A case report. Experimental and Therapeutic Medicine. https://doi.org/10.3892/etm.2019.7445</w:t>
      </w:r>
    </w:p>
    <w:p w14:paraId="680BCB87"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Lecler A, Savatovsky J, Cahuzac A. (2018).Traumatic Optic Nerve Transection. JAMA Ophthalmol. ;136(5):e180490.  doi:10.1001/jamaophthalmol.2018.0490.  </w:t>
      </w:r>
    </w:p>
    <w:p w14:paraId="278BDDED"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Paul Riordan-Eva and James J. Augsburger. (2018). Vaughan &amp; Asburry’s General  Ophthalmology 19th Edition. United States: McGraw-Hill Education.   </w:t>
      </w:r>
    </w:p>
    <w:p w14:paraId="3BCD8572"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Singman, Eric L. Nitin Daphalapurkar, Helen White, Taho D. Nguyen, Lijo   Panghat, Jessica Chang, dan Timothy McCulley. (2016). Indirect Traumatic  Optic Neuropathy. Mil Med Res, 3(2). doi: https://doi.org/10.1186%2Fs40779016-0069-Siyanaki MRH, Azab MA, </w:t>
      </w:r>
    </w:p>
    <w:p w14:paraId="568530AB"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Lucke-Wold B. Traumatic Optic Neuropathy: Update on Management. Encyclopedia (Basel, 2021). 2023 Mar;3(1):88-101. doi:   10.3390/encyclopedia3010007. Epub 2023 Jan 13  </w:t>
      </w:r>
    </w:p>
    <w:p w14:paraId="4EA8EA2F"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Tenewitz, Jake E, Evan J Chen, Mont J Cartwirght. (2021). A Rare Presentation of  Direct Traumatic Optic Neuropathy in a Patient Poked in the Eye by an Antenna. Cureus, 13(9). doi: 10.7759/cureus.18244.  </w:t>
      </w:r>
    </w:p>
    <w:p w14:paraId="412CF3A7" w14:textId="77777777" w:rsidR="00A43346" w:rsidRPr="00DE697C" w:rsidRDefault="00A43346" w:rsidP="00DE697C">
      <w:pPr>
        <w:tabs>
          <w:tab w:val="left" w:pos="7513"/>
        </w:tabs>
        <w:ind w:left="426" w:right="95" w:hanging="426"/>
        <w:jc w:val="both"/>
        <w:rPr>
          <w:sz w:val="24"/>
          <w:szCs w:val="24"/>
        </w:rPr>
      </w:pPr>
      <w:r w:rsidRPr="00DE697C">
        <w:rPr>
          <w:sz w:val="24"/>
          <w:szCs w:val="24"/>
        </w:rPr>
        <w:t>Trask, W. M., Mak, M. Y. K., Gohill, J., Kherani, A., &amp; Subramaniam, S. (2023). Acute Neuroimaging Findings in Traumatic Optic Neuropathy. </w:t>
      </w:r>
      <w:r w:rsidRPr="00DE697C">
        <w:rPr>
          <w:i/>
          <w:iCs/>
          <w:sz w:val="24"/>
          <w:szCs w:val="24"/>
        </w:rPr>
        <w:t>Canadian Journal of Neurological Sciences / Journal Canadien Des Sciences Neurologiques</w:t>
      </w:r>
      <w:r w:rsidRPr="00DE697C">
        <w:rPr>
          <w:sz w:val="24"/>
          <w:szCs w:val="24"/>
        </w:rPr>
        <w:t>, </w:t>
      </w:r>
      <w:r w:rsidRPr="00DE697C">
        <w:rPr>
          <w:i/>
          <w:iCs/>
          <w:sz w:val="24"/>
          <w:szCs w:val="24"/>
        </w:rPr>
        <w:t>50</w:t>
      </w:r>
      <w:r w:rsidRPr="00DE697C">
        <w:rPr>
          <w:sz w:val="24"/>
          <w:szCs w:val="24"/>
        </w:rPr>
        <w:t>(6), 937–938. doi:10.1017/cjn.2022.308</w:t>
      </w:r>
    </w:p>
    <w:p w14:paraId="748C1AB1"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Yu-Wai-Man, Patrick. (2015). Traumatic Optic Neuropathy-Clinical Features and Management Issues. Taiwan Journal of Ophthalmology, 5(1):3-8. doi: https://doi.org/10.1016%2Fj.tjo.2015.01.003.  </w:t>
      </w:r>
    </w:p>
    <w:p w14:paraId="3DE8EE03"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Wijayati, Made Paramita, Syntia Nusanti, dan M. Sidik. (2021). Neuropati Optik  Traumatik: Gambaran 13 Kasus Berdasarkan Radiologi dan Awitan Terapi  Kortikosteroid di Rumah Sakit Cipto Mangunkusumo. Ophyhalmologica  Indonesiana, 47(2). doi:  an  </w:t>
      </w:r>
    </w:p>
    <w:p w14:paraId="2BFFD0B8" w14:textId="77777777" w:rsidR="00A43346" w:rsidRPr="00DE697C" w:rsidRDefault="00A43346" w:rsidP="00DE697C">
      <w:pPr>
        <w:tabs>
          <w:tab w:val="left" w:pos="7513"/>
        </w:tabs>
        <w:ind w:left="426" w:right="95" w:hanging="426"/>
        <w:jc w:val="both"/>
        <w:rPr>
          <w:sz w:val="24"/>
          <w:szCs w:val="24"/>
        </w:rPr>
      </w:pPr>
      <w:r w:rsidRPr="00DE697C">
        <w:rPr>
          <w:sz w:val="24"/>
          <w:szCs w:val="24"/>
        </w:rPr>
        <w:t>Wilhelm H, Schabet M. The Diagnosis and Treatment of Optic Neuritis. Dtsch  Ärztebl Int. 2015 Sep;112(37</w:t>
      </w:r>
    </w:p>
    <w:p w14:paraId="0FF6DE57" w14:textId="77777777" w:rsidR="00A43346" w:rsidRPr="00DE697C" w:rsidRDefault="00A43346" w:rsidP="00DE697C">
      <w:pPr>
        <w:tabs>
          <w:tab w:val="left" w:pos="7513"/>
        </w:tabs>
        <w:ind w:left="426" w:right="95" w:hanging="426"/>
        <w:jc w:val="both"/>
        <w:rPr>
          <w:sz w:val="24"/>
          <w:szCs w:val="24"/>
        </w:rPr>
      </w:pPr>
      <w:r w:rsidRPr="00DE697C">
        <w:rPr>
          <w:sz w:val="24"/>
          <w:szCs w:val="24"/>
        </w:rPr>
        <w:t xml:space="preserve">Zwerling, C. S., &amp; Carter, L. (2022). Prospective study of traumatic optic neuropathy among active military and veterans: An underestimated pattern of prevalence. Annals of Review Research, 7(1), 555702. </w:t>
      </w:r>
      <w:hyperlink r:id="rId12" w:tgtFrame="_new" w:history="1">
        <w:r w:rsidRPr="00DE697C">
          <w:rPr>
            <w:sz w:val="24"/>
            <w:szCs w:val="24"/>
          </w:rPr>
          <w:t>https://doi.org/10.19080/ARR.2022.07.555702</w:t>
        </w:r>
      </w:hyperlink>
    </w:p>
    <w:p w14:paraId="08BD9663" w14:textId="77777777" w:rsidR="006327E4" w:rsidRPr="00DE697C" w:rsidRDefault="006327E4" w:rsidP="00DE697C">
      <w:pPr>
        <w:pStyle w:val="BodyText"/>
        <w:tabs>
          <w:tab w:val="left" w:pos="7513"/>
        </w:tabs>
        <w:ind w:right="95"/>
        <w:rPr>
          <w:sz w:val="24"/>
          <w:szCs w:val="24"/>
        </w:rPr>
      </w:pPr>
    </w:p>
    <w:sectPr w:rsidR="006327E4" w:rsidRPr="00DE697C" w:rsidSect="00EA0153">
      <w:headerReference w:type="default" r:id="rId13"/>
      <w:footerReference w:type="default" r:id="rId14"/>
      <w:pgSz w:w="11906" w:h="16838" w:code="9"/>
      <w:pgMar w:top="1440" w:right="1440" w:bottom="1440" w:left="1440" w:header="709" w:footer="454" w:gutter="0"/>
      <w:pgNumType w:start="156"/>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D420F" w14:textId="77777777" w:rsidR="005215D5" w:rsidRDefault="005215D5">
      <w:r>
        <w:separator/>
      </w:r>
    </w:p>
  </w:endnote>
  <w:endnote w:type="continuationSeparator" w:id="0">
    <w:p w14:paraId="5326279C" w14:textId="77777777" w:rsidR="005215D5" w:rsidRDefault="00521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4"/>
      <w:gridCol w:w="4482"/>
    </w:tblGrid>
    <w:tr w:rsidR="00EA0153" w:rsidRPr="00EA297C" w14:paraId="6A793CF2" w14:textId="77777777" w:rsidTr="00FB0BF5">
      <w:trPr>
        <w:trHeight w:hRule="exact" w:val="115"/>
        <w:jc w:val="center"/>
      </w:trPr>
      <w:tc>
        <w:tcPr>
          <w:tcW w:w="4686" w:type="dxa"/>
          <w:shd w:val="clear" w:color="auto" w:fill="4F81BD" w:themeFill="accent1"/>
          <w:tcMar>
            <w:top w:w="0" w:type="dxa"/>
            <w:bottom w:w="0" w:type="dxa"/>
          </w:tcMar>
        </w:tcPr>
        <w:p w14:paraId="34337ACB" w14:textId="77777777" w:rsidR="00EA0153" w:rsidRPr="00EA297C" w:rsidRDefault="00EA0153" w:rsidP="001A07DD">
          <w:pPr>
            <w:pStyle w:val="Header"/>
            <w:ind w:left="-326" w:hanging="2"/>
            <w:rPr>
              <w:b/>
              <w:bCs/>
              <w:caps/>
              <w:sz w:val="24"/>
              <w:szCs w:val="24"/>
            </w:rPr>
          </w:pPr>
        </w:p>
      </w:tc>
      <w:tc>
        <w:tcPr>
          <w:tcW w:w="4674" w:type="dxa"/>
          <w:shd w:val="clear" w:color="auto" w:fill="4F81BD" w:themeFill="accent1"/>
          <w:tcMar>
            <w:top w:w="0" w:type="dxa"/>
            <w:bottom w:w="0" w:type="dxa"/>
          </w:tcMar>
        </w:tcPr>
        <w:p w14:paraId="35FA9D81" w14:textId="77777777" w:rsidR="00EA0153" w:rsidRPr="00EA297C" w:rsidRDefault="00EA0153" w:rsidP="001A07DD">
          <w:pPr>
            <w:pStyle w:val="Header"/>
            <w:ind w:left="-326" w:hanging="2"/>
            <w:jc w:val="right"/>
            <w:rPr>
              <w:b/>
              <w:bCs/>
              <w:caps/>
              <w:sz w:val="24"/>
              <w:szCs w:val="24"/>
            </w:rPr>
          </w:pPr>
        </w:p>
      </w:tc>
    </w:tr>
    <w:tr w:rsidR="00EA0153" w:rsidRPr="00EA297C" w14:paraId="5E49E04F" w14:textId="77777777" w:rsidTr="00FB0BF5">
      <w:trPr>
        <w:jc w:val="center"/>
      </w:trPr>
      <w:tc>
        <w:tcPr>
          <w:tcW w:w="4686" w:type="dxa"/>
          <w:shd w:val="clear" w:color="auto" w:fill="auto"/>
          <w:vAlign w:val="center"/>
        </w:tcPr>
        <w:p w14:paraId="4823FD02" w14:textId="42BE41E8" w:rsidR="00EA0153" w:rsidRPr="00EA297C" w:rsidRDefault="00EA0153" w:rsidP="001A07DD">
          <w:pPr>
            <w:pStyle w:val="Footer"/>
            <w:ind w:left="-326" w:hanging="2"/>
            <w:rPr>
              <w:b/>
              <w:bCs/>
              <w:caps/>
              <w:color w:val="808080" w:themeColor="background1" w:themeShade="80"/>
              <w:sz w:val="24"/>
              <w:szCs w:val="24"/>
            </w:rPr>
          </w:pPr>
          <w:r>
            <w:rPr>
              <w:b/>
              <w:bCs/>
              <w:caps/>
              <w:color w:val="808080" w:themeColor="background1" w:themeShade="80"/>
              <w:sz w:val="24"/>
              <w:szCs w:val="24"/>
            </w:rPr>
            <w:t xml:space="preserve">    </w:t>
          </w:r>
          <w:r w:rsidRPr="00EA297C">
            <w:rPr>
              <w:b/>
              <w:bCs/>
              <w:caps/>
              <w:color w:val="808080" w:themeColor="background1" w:themeShade="80"/>
              <w:sz w:val="24"/>
              <w:szCs w:val="24"/>
            </w:rPr>
            <w:t>juRNAL KESEHATAN TAMBUSAI</w:t>
          </w:r>
        </w:p>
      </w:tc>
      <w:tc>
        <w:tcPr>
          <w:tcW w:w="4674" w:type="dxa"/>
          <w:shd w:val="clear" w:color="auto" w:fill="auto"/>
          <w:vAlign w:val="center"/>
        </w:tcPr>
        <w:p w14:paraId="27AE218D" w14:textId="31CA66DA" w:rsidR="00EA0153" w:rsidRPr="00EA297C" w:rsidRDefault="00EA0153" w:rsidP="001A07DD">
          <w:pPr>
            <w:pStyle w:val="Footer"/>
            <w:ind w:left="-326" w:hanging="2"/>
            <w:jc w:val="right"/>
            <w:rPr>
              <w:b/>
              <w:bCs/>
              <w:caps/>
              <w:color w:val="808080" w:themeColor="background1" w:themeShade="80"/>
              <w:sz w:val="24"/>
              <w:szCs w:val="24"/>
            </w:rPr>
          </w:pPr>
          <w:r w:rsidRPr="00EA297C">
            <w:rPr>
              <w:b/>
              <w:bCs/>
              <w:caps/>
              <w:color w:val="808080" w:themeColor="background1" w:themeShade="80"/>
              <w:sz w:val="24"/>
              <w:szCs w:val="24"/>
            </w:rPr>
            <w:fldChar w:fldCharType="begin"/>
          </w:r>
          <w:r w:rsidRPr="00EA297C">
            <w:rPr>
              <w:b/>
              <w:bCs/>
              <w:caps/>
              <w:color w:val="808080" w:themeColor="background1" w:themeShade="80"/>
              <w:sz w:val="24"/>
              <w:szCs w:val="24"/>
            </w:rPr>
            <w:instrText xml:space="preserve"> PAGE   \* MERGEFORMAT </w:instrText>
          </w:r>
          <w:r w:rsidRPr="00EA297C">
            <w:rPr>
              <w:b/>
              <w:bCs/>
              <w:caps/>
              <w:color w:val="808080" w:themeColor="background1" w:themeShade="80"/>
              <w:sz w:val="24"/>
              <w:szCs w:val="24"/>
            </w:rPr>
            <w:fldChar w:fldCharType="separate"/>
          </w:r>
          <w:r w:rsidR="005215D5">
            <w:rPr>
              <w:b/>
              <w:bCs/>
              <w:caps/>
              <w:noProof/>
              <w:color w:val="808080" w:themeColor="background1" w:themeShade="80"/>
              <w:sz w:val="24"/>
              <w:szCs w:val="24"/>
            </w:rPr>
            <w:t>156</w:t>
          </w:r>
          <w:r w:rsidRPr="00EA297C">
            <w:rPr>
              <w:b/>
              <w:bCs/>
              <w:caps/>
              <w:noProof/>
              <w:color w:val="808080" w:themeColor="background1" w:themeShade="80"/>
              <w:sz w:val="24"/>
              <w:szCs w:val="24"/>
            </w:rPr>
            <w:fldChar w:fldCharType="end"/>
          </w:r>
        </w:p>
      </w:tc>
    </w:tr>
  </w:tbl>
  <w:p w14:paraId="532F187B" w14:textId="77777777" w:rsidR="00EA0153" w:rsidRDefault="00EA0153" w:rsidP="001A07D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31407" w14:textId="77777777" w:rsidR="005215D5" w:rsidRDefault="005215D5">
      <w:r>
        <w:separator/>
      </w:r>
    </w:p>
  </w:footnote>
  <w:footnote w:type="continuationSeparator" w:id="0">
    <w:p w14:paraId="345CD5E6" w14:textId="77777777" w:rsidR="005215D5" w:rsidRDefault="005215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81F2A" w14:textId="77777777" w:rsidR="00EA0153" w:rsidRPr="00441F71" w:rsidRDefault="00EA0153" w:rsidP="00EA0153">
    <w:pPr>
      <w:ind w:hanging="2"/>
      <w:rPr>
        <w:b/>
        <w:sz w:val="24"/>
        <w:szCs w:val="24"/>
      </w:rPr>
    </w:pPr>
    <w:r w:rsidRPr="00441F71">
      <w:rPr>
        <w:b/>
        <w:sz w:val="24"/>
        <w:szCs w:val="24"/>
      </w:rPr>
      <w:tab/>
      <w:t xml:space="preserve">Volume 6, Nomor 1, Maret 2025               </w:t>
    </w:r>
    <w:r w:rsidRPr="00441F71">
      <w:rPr>
        <w:b/>
        <w:sz w:val="24"/>
        <w:szCs w:val="24"/>
      </w:rPr>
      <w:tab/>
      <w:t xml:space="preserve">    </w:t>
    </w:r>
    <w:r w:rsidRPr="00441F71">
      <w:rPr>
        <w:b/>
        <w:sz w:val="24"/>
        <w:szCs w:val="24"/>
      </w:rPr>
      <w:tab/>
      <w:t xml:space="preserve">       </w:t>
    </w:r>
    <w:r>
      <w:rPr>
        <w:b/>
        <w:sz w:val="24"/>
        <w:szCs w:val="24"/>
      </w:rPr>
      <w:tab/>
      <w:t xml:space="preserve">         </w:t>
    </w:r>
    <w:r w:rsidRPr="00441F71">
      <w:rPr>
        <w:b/>
        <w:sz w:val="24"/>
        <w:szCs w:val="24"/>
      </w:rPr>
      <w:t>ISSN : 2774-5848 (Online)</w:t>
    </w:r>
  </w:p>
  <w:p w14:paraId="53A080F9" w14:textId="77777777" w:rsidR="00EA0153" w:rsidRPr="004B52DF" w:rsidRDefault="00EA0153" w:rsidP="00EA0153">
    <w:pPr>
      <w:pStyle w:val="Header"/>
      <w:ind w:hanging="2"/>
      <w:rPr>
        <w:b/>
        <w:sz w:val="24"/>
        <w:szCs w:val="24"/>
      </w:rPr>
    </w:pPr>
    <w:r w:rsidRPr="00441F71">
      <w:rPr>
        <w:b/>
        <w:sz w:val="24"/>
        <w:szCs w:val="24"/>
      </w:rPr>
      <w:t xml:space="preserve">                                                                           </w:t>
    </w:r>
    <w:r>
      <w:rPr>
        <w:b/>
        <w:sz w:val="24"/>
        <w:szCs w:val="24"/>
      </w:rPr>
      <w:t xml:space="preserve">                               </w:t>
    </w:r>
    <w:r w:rsidRPr="00441F71">
      <w:rPr>
        <w:b/>
        <w:sz w:val="24"/>
        <w:szCs w:val="24"/>
      </w:rPr>
      <w:t>ISSN : 2777-0524 (Cetak)</w:t>
    </w:r>
  </w:p>
  <w:p w14:paraId="1355AC80" w14:textId="6C27D94A" w:rsidR="006327E4" w:rsidRDefault="006327E4">
    <w:pPr>
      <w:pStyle w:val="BodyText"/>
      <w:spacing w:line="14" w:lineRule="auto"/>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D0DFC"/>
    <w:multiLevelType w:val="hybridMultilevel"/>
    <w:tmpl w:val="586CAE98"/>
    <w:lvl w:ilvl="0" w:tplc="699AB71C">
      <w:start w:val="1"/>
      <w:numFmt w:val="decimal"/>
      <w:lvlText w:val="%1."/>
      <w:lvlJc w:val="left"/>
      <w:pPr>
        <w:ind w:left="717" w:hanging="360"/>
      </w:pPr>
      <w:rPr>
        <w:rFonts w:ascii="Times New Roman" w:eastAsia="Times New Roman" w:hAnsi="Times New Roman" w:cs="Times New Roman" w:hint="default"/>
        <w:b/>
        <w:bCs/>
        <w:i w:val="0"/>
        <w:iCs w:val="0"/>
        <w:spacing w:val="-7"/>
        <w:w w:val="100"/>
        <w:sz w:val="20"/>
        <w:szCs w:val="20"/>
        <w:lang w:val="en-US" w:eastAsia="en-US" w:bidi="ar-SA"/>
      </w:rPr>
    </w:lvl>
    <w:lvl w:ilvl="1" w:tplc="585C32D6">
      <w:numFmt w:val="bullet"/>
      <w:lvlText w:val="•"/>
      <w:lvlJc w:val="left"/>
      <w:pPr>
        <w:ind w:left="1098" w:hanging="360"/>
      </w:pPr>
      <w:rPr>
        <w:rFonts w:hint="default"/>
        <w:lang w:val="en-US" w:eastAsia="en-US" w:bidi="ar-SA"/>
      </w:rPr>
    </w:lvl>
    <w:lvl w:ilvl="2" w:tplc="87D6C4E2">
      <w:numFmt w:val="bullet"/>
      <w:lvlText w:val="•"/>
      <w:lvlJc w:val="left"/>
      <w:pPr>
        <w:ind w:left="1476" w:hanging="360"/>
      </w:pPr>
      <w:rPr>
        <w:rFonts w:hint="default"/>
        <w:lang w:val="en-US" w:eastAsia="en-US" w:bidi="ar-SA"/>
      </w:rPr>
    </w:lvl>
    <w:lvl w:ilvl="3" w:tplc="C486E562">
      <w:numFmt w:val="bullet"/>
      <w:lvlText w:val="•"/>
      <w:lvlJc w:val="left"/>
      <w:pPr>
        <w:ind w:left="1855" w:hanging="360"/>
      </w:pPr>
      <w:rPr>
        <w:rFonts w:hint="default"/>
        <w:lang w:val="en-US" w:eastAsia="en-US" w:bidi="ar-SA"/>
      </w:rPr>
    </w:lvl>
    <w:lvl w:ilvl="4" w:tplc="8CF05C42">
      <w:numFmt w:val="bullet"/>
      <w:lvlText w:val="•"/>
      <w:lvlJc w:val="left"/>
      <w:pPr>
        <w:ind w:left="2233" w:hanging="360"/>
      </w:pPr>
      <w:rPr>
        <w:rFonts w:hint="default"/>
        <w:lang w:val="en-US" w:eastAsia="en-US" w:bidi="ar-SA"/>
      </w:rPr>
    </w:lvl>
    <w:lvl w:ilvl="5" w:tplc="E88AA542">
      <w:numFmt w:val="bullet"/>
      <w:lvlText w:val="•"/>
      <w:lvlJc w:val="left"/>
      <w:pPr>
        <w:ind w:left="2611" w:hanging="360"/>
      </w:pPr>
      <w:rPr>
        <w:rFonts w:hint="default"/>
        <w:lang w:val="en-US" w:eastAsia="en-US" w:bidi="ar-SA"/>
      </w:rPr>
    </w:lvl>
    <w:lvl w:ilvl="6" w:tplc="5B5AE18A">
      <w:numFmt w:val="bullet"/>
      <w:lvlText w:val="•"/>
      <w:lvlJc w:val="left"/>
      <w:pPr>
        <w:ind w:left="2990" w:hanging="360"/>
      </w:pPr>
      <w:rPr>
        <w:rFonts w:hint="default"/>
        <w:lang w:val="en-US" w:eastAsia="en-US" w:bidi="ar-SA"/>
      </w:rPr>
    </w:lvl>
    <w:lvl w:ilvl="7" w:tplc="2B141ACA">
      <w:numFmt w:val="bullet"/>
      <w:lvlText w:val="•"/>
      <w:lvlJc w:val="left"/>
      <w:pPr>
        <w:ind w:left="3368" w:hanging="360"/>
      </w:pPr>
      <w:rPr>
        <w:rFonts w:hint="default"/>
        <w:lang w:val="en-US" w:eastAsia="en-US" w:bidi="ar-SA"/>
      </w:rPr>
    </w:lvl>
    <w:lvl w:ilvl="8" w:tplc="2C343CAE">
      <w:numFmt w:val="bullet"/>
      <w:lvlText w:val="•"/>
      <w:lvlJc w:val="left"/>
      <w:pPr>
        <w:ind w:left="3746" w:hanging="360"/>
      </w:pPr>
      <w:rPr>
        <w:rFonts w:hint="default"/>
        <w:lang w:val="en-US" w:eastAsia="en-US" w:bidi="ar-SA"/>
      </w:rPr>
    </w:lvl>
  </w:abstractNum>
  <w:abstractNum w:abstractNumId="1" w15:restartNumberingAfterBreak="0">
    <w:nsid w:val="27452D89"/>
    <w:multiLevelType w:val="multilevel"/>
    <w:tmpl w:val="1DB62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82415E"/>
    <w:multiLevelType w:val="hybridMultilevel"/>
    <w:tmpl w:val="051EB558"/>
    <w:lvl w:ilvl="0" w:tplc="81B6A92A">
      <w:start w:val="1"/>
      <w:numFmt w:val="decimal"/>
      <w:lvlText w:val="%1."/>
      <w:lvlJc w:val="left"/>
      <w:pPr>
        <w:ind w:left="808" w:hanging="451"/>
      </w:pPr>
      <w:rPr>
        <w:rFonts w:ascii="Times New Roman" w:eastAsia="Times New Roman" w:hAnsi="Times New Roman" w:cs="Times New Roman" w:hint="default"/>
        <w:b w:val="0"/>
        <w:bCs w:val="0"/>
        <w:i w:val="0"/>
        <w:iCs w:val="0"/>
        <w:spacing w:val="0"/>
        <w:w w:val="100"/>
        <w:sz w:val="20"/>
        <w:szCs w:val="20"/>
        <w:lang w:val="en-US" w:eastAsia="en-US" w:bidi="ar-SA"/>
      </w:rPr>
    </w:lvl>
    <w:lvl w:ilvl="1" w:tplc="5BDA4F04">
      <w:numFmt w:val="bullet"/>
      <w:lvlText w:val="•"/>
      <w:lvlJc w:val="left"/>
      <w:pPr>
        <w:ind w:left="1170" w:hanging="451"/>
      </w:pPr>
      <w:rPr>
        <w:rFonts w:hint="default"/>
        <w:lang w:val="en-US" w:eastAsia="en-US" w:bidi="ar-SA"/>
      </w:rPr>
    </w:lvl>
    <w:lvl w:ilvl="2" w:tplc="BB3462C6">
      <w:numFmt w:val="bullet"/>
      <w:lvlText w:val="•"/>
      <w:lvlJc w:val="left"/>
      <w:pPr>
        <w:ind w:left="1540" w:hanging="451"/>
      </w:pPr>
      <w:rPr>
        <w:rFonts w:hint="default"/>
        <w:lang w:val="en-US" w:eastAsia="en-US" w:bidi="ar-SA"/>
      </w:rPr>
    </w:lvl>
    <w:lvl w:ilvl="3" w:tplc="CF8CC69A">
      <w:numFmt w:val="bullet"/>
      <w:lvlText w:val="•"/>
      <w:lvlJc w:val="left"/>
      <w:pPr>
        <w:ind w:left="1910" w:hanging="451"/>
      </w:pPr>
      <w:rPr>
        <w:rFonts w:hint="default"/>
        <w:lang w:val="en-US" w:eastAsia="en-US" w:bidi="ar-SA"/>
      </w:rPr>
    </w:lvl>
    <w:lvl w:ilvl="4" w:tplc="AB6A95A2">
      <w:numFmt w:val="bullet"/>
      <w:lvlText w:val="•"/>
      <w:lvlJc w:val="left"/>
      <w:pPr>
        <w:ind w:left="2280" w:hanging="451"/>
      </w:pPr>
      <w:rPr>
        <w:rFonts w:hint="default"/>
        <w:lang w:val="en-US" w:eastAsia="en-US" w:bidi="ar-SA"/>
      </w:rPr>
    </w:lvl>
    <w:lvl w:ilvl="5" w:tplc="0F1A955C">
      <w:numFmt w:val="bullet"/>
      <w:lvlText w:val="•"/>
      <w:lvlJc w:val="left"/>
      <w:pPr>
        <w:ind w:left="2651" w:hanging="451"/>
      </w:pPr>
      <w:rPr>
        <w:rFonts w:hint="default"/>
        <w:lang w:val="en-US" w:eastAsia="en-US" w:bidi="ar-SA"/>
      </w:rPr>
    </w:lvl>
    <w:lvl w:ilvl="6" w:tplc="89924064">
      <w:numFmt w:val="bullet"/>
      <w:lvlText w:val="•"/>
      <w:lvlJc w:val="left"/>
      <w:pPr>
        <w:ind w:left="3021" w:hanging="451"/>
      </w:pPr>
      <w:rPr>
        <w:rFonts w:hint="default"/>
        <w:lang w:val="en-US" w:eastAsia="en-US" w:bidi="ar-SA"/>
      </w:rPr>
    </w:lvl>
    <w:lvl w:ilvl="7" w:tplc="B5865900">
      <w:numFmt w:val="bullet"/>
      <w:lvlText w:val="•"/>
      <w:lvlJc w:val="left"/>
      <w:pPr>
        <w:ind w:left="3391" w:hanging="451"/>
      </w:pPr>
      <w:rPr>
        <w:rFonts w:hint="default"/>
        <w:lang w:val="en-US" w:eastAsia="en-US" w:bidi="ar-SA"/>
      </w:rPr>
    </w:lvl>
    <w:lvl w:ilvl="8" w:tplc="D9F4202C">
      <w:numFmt w:val="bullet"/>
      <w:lvlText w:val="•"/>
      <w:lvlJc w:val="left"/>
      <w:pPr>
        <w:ind w:left="3761" w:hanging="451"/>
      </w:pPr>
      <w:rPr>
        <w:rFonts w:hint="default"/>
        <w:lang w:val="en-US" w:eastAsia="en-US" w:bidi="ar-SA"/>
      </w:rPr>
    </w:lvl>
  </w:abstractNum>
  <w:abstractNum w:abstractNumId="3" w15:restartNumberingAfterBreak="0">
    <w:nsid w:val="7C0239B9"/>
    <w:multiLevelType w:val="multilevel"/>
    <w:tmpl w:val="77FC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7E4"/>
    <w:rsid w:val="000352D5"/>
    <w:rsid w:val="000C491F"/>
    <w:rsid w:val="000C6C7B"/>
    <w:rsid w:val="00111A74"/>
    <w:rsid w:val="00127D2F"/>
    <w:rsid w:val="00190F98"/>
    <w:rsid w:val="001B3F38"/>
    <w:rsid w:val="001C588F"/>
    <w:rsid w:val="001F0065"/>
    <w:rsid w:val="0024197E"/>
    <w:rsid w:val="00251E15"/>
    <w:rsid w:val="00274FCF"/>
    <w:rsid w:val="002D2182"/>
    <w:rsid w:val="002F16E1"/>
    <w:rsid w:val="00300524"/>
    <w:rsid w:val="003221FC"/>
    <w:rsid w:val="00345017"/>
    <w:rsid w:val="00366C22"/>
    <w:rsid w:val="00370FD7"/>
    <w:rsid w:val="003A3CE6"/>
    <w:rsid w:val="003D4BCA"/>
    <w:rsid w:val="003F4D66"/>
    <w:rsid w:val="004134B9"/>
    <w:rsid w:val="00453BC9"/>
    <w:rsid w:val="005215D5"/>
    <w:rsid w:val="005354A0"/>
    <w:rsid w:val="00556F78"/>
    <w:rsid w:val="00584CD7"/>
    <w:rsid w:val="005916F4"/>
    <w:rsid w:val="005A79A8"/>
    <w:rsid w:val="005B4084"/>
    <w:rsid w:val="005C1385"/>
    <w:rsid w:val="006327E4"/>
    <w:rsid w:val="006F458A"/>
    <w:rsid w:val="00750332"/>
    <w:rsid w:val="007521C4"/>
    <w:rsid w:val="00776029"/>
    <w:rsid w:val="007B36F5"/>
    <w:rsid w:val="007B5C62"/>
    <w:rsid w:val="00862A36"/>
    <w:rsid w:val="008719E7"/>
    <w:rsid w:val="008E6E0D"/>
    <w:rsid w:val="0091644C"/>
    <w:rsid w:val="00941E45"/>
    <w:rsid w:val="009B25EF"/>
    <w:rsid w:val="00A31BA5"/>
    <w:rsid w:val="00A43346"/>
    <w:rsid w:val="00A664E3"/>
    <w:rsid w:val="00AA3600"/>
    <w:rsid w:val="00AA4318"/>
    <w:rsid w:val="00B97535"/>
    <w:rsid w:val="00BB4AD6"/>
    <w:rsid w:val="00C06A9F"/>
    <w:rsid w:val="00CB5E53"/>
    <w:rsid w:val="00CE05DA"/>
    <w:rsid w:val="00CF43F2"/>
    <w:rsid w:val="00D15337"/>
    <w:rsid w:val="00D33B36"/>
    <w:rsid w:val="00DA6FE6"/>
    <w:rsid w:val="00DC7EB4"/>
    <w:rsid w:val="00DE697C"/>
    <w:rsid w:val="00EA0153"/>
    <w:rsid w:val="00EA3594"/>
    <w:rsid w:val="00ED1819"/>
    <w:rsid w:val="00F0212A"/>
    <w:rsid w:val="00FA660E"/>
    <w:rsid w:val="00FD2F1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F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44" w:lineRule="exact"/>
      <w:ind w:left="20"/>
      <w:outlineLvl w:val="0"/>
    </w:pPr>
  </w:style>
  <w:style w:type="paragraph" w:styleId="Heading2">
    <w:name w:val="heading 2"/>
    <w:basedOn w:val="Normal"/>
    <w:uiPriority w:val="9"/>
    <w:unhideWhenUsed/>
    <w:qFormat/>
    <w:pPr>
      <w:ind w:left="717" w:hanging="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91"/>
      <w:ind w:left="388" w:right="391"/>
      <w:jc w:val="center"/>
    </w:pPr>
    <w:rPr>
      <w:b/>
      <w:bCs/>
      <w:sz w:val="24"/>
      <w:szCs w:val="24"/>
    </w:rPr>
  </w:style>
  <w:style w:type="paragraph" w:styleId="ListParagraph">
    <w:name w:val="List Paragraph"/>
    <w:basedOn w:val="Normal"/>
    <w:uiPriority w:val="34"/>
    <w:qFormat/>
    <w:pPr>
      <w:ind w:left="808" w:hanging="45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A3594"/>
    <w:rPr>
      <w:color w:val="0000FF" w:themeColor="hyperlink"/>
      <w:u w:val="single"/>
    </w:rPr>
  </w:style>
  <w:style w:type="character" w:customStyle="1" w:styleId="UnresolvedMention">
    <w:name w:val="Unresolved Mention"/>
    <w:basedOn w:val="DefaultParagraphFont"/>
    <w:uiPriority w:val="99"/>
    <w:semiHidden/>
    <w:unhideWhenUsed/>
    <w:rsid w:val="00EA3594"/>
    <w:rPr>
      <w:color w:val="605E5C"/>
      <w:shd w:val="clear" w:color="auto" w:fill="E1DFDD"/>
    </w:rPr>
  </w:style>
  <w:style w:type="paragraph" w:styleId="Header">
    <w:name w:val="header"/>
    <w:basedOn w:val="Normal"/>
    <w:link w:val="HeaderChar"/>
    <w:uiPriority w:val="99"/>
    <w:unhideWhenUsed/>
    <w:qFormat/>
    <w:rsid w:val="00EA3594"/>
    <w:pPr>
      <w:tabs>
        <w:tab w:val="center" w:pos="4680"/>
        <w:tab w:val="right" w:pos="9360"/>
      </w:tabs>
    </w:pPr>
  </w:style>
  <w:style w:type="character" w:customStyle="1" w:styleId="HeaderChar">
    <w:name w:val="Header Char"/>
    <w:basedOn w:val="DefaultParagraphFont"/>
    <w:link w:val="Header"/>
    <w:uiPriority w:val="99"/>
    <w:rsid w:val="00EA3594"/>
    <w:rPr>
      <w:rFonts w:ascii="Times New Roman" w:eastAsia="Times New Roman" w:hAnsi="Times New Roman" w:cs="Times New Roman"/>
    </w:rPr>
  </w:style>
  <w:style w:type="paragraph" w:styleId="Footer">
    <w:name w:val="footer"/>
    <w:basedOn w:val="Normal"/>
    <w:link w:val="FooterChar"/>
    <w:uiPriority w:val="99"/>
    <w:unhideWhenUsed/>
    <w:rsid w:val="00EA3594"/>
    <w:pPr>
      <w:tabs>
        <w:tab w:val="center" w:pos="4680"/>
        <w:tab w:val="right" w:pos="9360"/>
      </w:tabs>
    </w:pPr>
  </w:style>
  <w:style w:type="character" w:customStyle="1" w:styleId="FooterChar">
    <w:name w:val="Footer Char"/>
    <w:basedOn w:val="DefaultParagraphFont"/>
    <w:link w:val="Footer"/>
    <w:uiPriority w:val="99"/>
    <w:rsid w:val="00EA3594"/>
    <w:rPr>
      <w:rFonts w:ascii="Times New Roman" w:eastAsia="Times New Roman" w:hAnsi="Times New Roman" w:cs="Times New Roman"/>
    </w:rPr>
  </w:style>
  <w:style w:type="paragraph" w:styleId="NormalWeb">
    <w:name w:val="Normal (Web)"/>
    <w:basedOn w:val="Normal"/>
    <w:uiPriority w:val="99"/>
    <w:unhideWhenUsed/>
    <w:rsid w:val="00CE05DA"/>
    <w:pPr>
      <w:widowControl/>
      <w:autoSpaceDE/>
      <w:autoSpaceDN/>
      <w:spacing w:before="100" w:beforeAutospacing="1" w:after="100" w:afterAutospacing="1"/>
    </w:pPr>
    <w:rPr>
      <w:sz w:val="24"/>
      <w:szCs w:val="24"/>
      <w:lang w:val="en-ID"/>
    </w:rPr>
  </w:style>
  <w:style w:type="character" w:styleId="Strong">
    <w:name w:val="Strong"/>
    <w:basedOn w:val="DefaultParagraphFont"/>
    <w:uiPriority w:val="22"/>
    <w:qFormat/>
    <w:rsid w:val="00DC7EB4"/>
    <w:rPr>
      <w:b/>
      <w:bCs/>
    </w:rPr>
  </w:style>
  <w:style w:type="character" w:customStyle="1" w:styleId="rynqvb">
    <w:name w:val="rynqvb"/>
    <w:basedOn w:val="DefaultParagraphFont"/>
    <w:rsid w:val="00941E45"/>
  </w:style>
  <w:style w:type="character" w:styleId="FollowedHyperlink">
    <w:name w:val="FollowedHyperlink"/>
    <w:basedOn w:val="DefaultParagraphFont"/>
    <w:uiPriority w:val="99"/>
    <w:semiHidden/>
    <w:unhideWhenUsed/>
    <w:rsid w:val="00941E45"/>
    <w:rPr>
      <w:color w:val="800080" w:themeColor="followedHyperlink"/>
      <w:u w:val="single"/>
    </w:rPr>
  </w:style>
  <w:style w:type="character" w:customStyle="1" w:styleId="hwtze">
    <w:name w:val="hwtze"/>
    <w:basedOn w:val="DefaultParagraphFont"/>
    <w:rsid w:val="00ED1819"/>
  </w:style>
  <w:style w:type="character" w:styleId="CommentReference">
    <w:name w:val="annotation reference"/>
    <w:basedOn w:val="DefaultParagraphFont"/>
    <w:uiPriority w:val="99"/>
    <w:semiHidden/>
    <w:unhideWhenUsed/>
    <w:rsid w:val="000C6C7B"/>
    <w:rPr>
      <w:sz w:val="16"/>
      <w:szCs w:val="16"/>
    </w:rPr>
  </w:style>
  <w:style w:type="paragraph" w:styleId="CommentText">
    <w:name w:val="annotation text"/>
    <w:basedOn w:val="Normal"/>
    <w:link w:val="CommentTextChar"/>
    <w:uiPriority w:val="99"/>
    <w:semiHidden/>
    <w:unhideWhenUsed/>
    <w:rsid w:val="000C6C7B"/>
    <w:rPr>
      <w:sz w:val="20"/>
      <w:szCs w:val="20"/>
    </w:rPr>
  </w:style>
  <w:style w:type="character" w:customStyle="1" w:styleId="CommentTextChar">
    <w:name w:val="Comment Text Char"/>
    <w:basedOn w:val="DefaultParagraphFont"/>
    <w:link w:val="CommentText"/>
    <w:uiPriority w:val="99"/>
    <w:semiHidden/>
    <w:rsid w:val="000C6C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C6C7B"/>
    <w:rPr>
      <w:b/>
      <w:bCs/>
    </w:rPr>
  </w:style>
  <w:style w:type="character" w:customStyle="1" w:styleId="CommentSubjectChar">
    <w:name w:val="Comment Subject Char"/>
    <w:basedOn w:val="CommentTextChar"/>
    <w:link w:val="CommentSubject"/>
    <w:uiPriority w:val="99"/>
    <w:semiHidden/>
    <w:rsid w:val="000C6C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C6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C7B"/>
    <w:rPr>
      <w:rFonts w:ascii="Segoe UI" w:eastAsia="Times New Roman" w:hAnsi="Segoe UI" w:cs="Segoe UI"/>
      <w:sz w:val="18"/>
      <w:szCs w:val="18"/>
    </w:rPr>
  </w:style>
  <w:style w:type="paragraph" w:styleId="HTMLPreformatted">
    <w:name w:val="HTML Preformatted"/>
    <w:basedOn w:val="Normal"/>
    <w:link w:val="HTMLPreformattedChar"/>
    <w:uiPriority w:val="99"/>
    <w:semiHidden/>
    <w:unhideWhenUsed/>
    <w:rsid w:val="00DE69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DE697C"/>
    <w:rPr>
      <w:rFonts w:ascii="Courier New" w:eastAsia="Times New Roman" w:hAnsi="Courier New" w:cs="Courier New"/>
      <w:sz w:val="20"/>
      <w:szCs w:val="20"/>
    </w:rPr>
  </w:style>
  <w:style w:type="character" w:customStyle="1" w:styleId="y2iqfc">
    <w:name w:val="y2iqfc"/>
    <w:basedOn w:val="DefaultParagraphFont"/>
    <w:rsid w:val="00DE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89">
      <w:bodyDiv w:val="1"/>
      <w:marLeft w:val="0"/>
      <w:marRight w:val="0"/>
      <w:marTop w:val="0"/>
      <w:marBottom w:val="0"/>
      <w:divBdr>
        <w:top w:val="none" w:sz="0" w:space="0" w:color="auto"/>
        <w:left w:val="none" w:sz="0" w:space="0" w:color="auto"/>
        <w:bottom w:val="none" w:sz="0" w:space="0" w:color="auto"/>
        <w:right w:val="none" w:sz="0" w:space="0" w:color="auto"/>
      </w:divBdr>
    </w:div>
    <w:div w:id="37750781">
      <w:bodyDiv w:val="1"/>
      <w:marLeft w:val="0"/>
      <w:marRight w:val="0"/>
      <w:marTop w:val="0"/>
      <w:marBottom w:val="0"/>
      <w:divBdr>
        <w:top w:val="none" w:sz="0" w:space="0" w:color="auto"/>
        <w:left w:val="none" w:sz="0" w:space="0" w:color="auto"/>
        <w:bottom w:val="none" w:sz="0" w:space="0" w:color="auto"/>
        <w:right w:val="none" w:sz="0" w:space="0" w:color="auto"/>
      </w:divBdr>
    </w:div>
    <w:div w:id="303704243">
      <w:bodyDiv w:val="1"/>
      <w:marLeft w:val="0"/>
      <w:marRight w:val="0"/>
      <w:marTop w:val="0"/>
      <w:marBottom w:val="0"/>
      <w:divBdr>
        <w:top w:val="none" w:sz="0" w:space="0" w:color="auto"/>
        <w:left w:val="none" w:sz="0" w:space="0" w:color="auto"/>
        <w:bottom w:val="none" w:sz="0" w:space="0" w:color="auto"/>
        <w:right w:val="none" w:sz="0" w:space="0" w:color="auto"/>
      </w:divBdr>
    </w:div>
    <w:div w:id="468939597">
      <w:bodyDiv w:val="1"/>
      <w:marLeft w:val="0"/>
      <w:marRight w:val="0"/>
      <w:marTop w:val="0"/>
      <w:marBottom w:val="0"/>
      <w:divBdr>
        <w:top w:val="none" w:sz="0" w:space="0" w:color="auto"/>
        <w:left w:val="none" w:sz="0" w:space="0" w:color="auto"/>
        <w:bottom w:val="none" w:sz="0" w:space="0" w:color="auto"/>
        <w:right w:val="none" w:sz="0" w:space="0" w:color="auto"/>
      </w:divBdr>
    </w:div>
    <w:div w:id="535505523">
      <w:bodyDiv w:val="1"/>
      <w:marLeft w:val="0"/>
      <w:marRight w:val="0"/>
      <w:marTop w:val="0"/>
      <w:marBottom w:val="0"/>
      <w:divBdr>
        <w:top w:val="none" w:sz="0" w:space="0" w:color="auto"/>
        <w:left w:val="none" w:sz="0" w:space="0" w:color="auto"/>
        <w:bottom w:val="none" w:sz="0" w:space="0" w:color="auto"/>
        <w:right w:val="none" w:sz="0" w:space="0" w:color="auto"/>
      </w:divBdr>
    </w:div>
    <w:div w:id="636908894">
      <w:bodyDiv w:val="1"/>
      <w:marLeft w:val="0"/>
      <w:marRight w:val="0"/>
      <w:marTop w:val="0"/>
      <w:marBottom w:val="0"/>
      <w:divBdr>
        <w:top w:val="none" w:sz="0" w:space="0" w:color="auto"/>
        <w:left w:val="none" w:sz="0" w:space="0" w:color="auto"/>
        <w:bottom w:val="none" w:sz="0" w:space="0" w:color="auto"/>
        <w:right w:val="none" w:sz="0" w:space="0" w:color="auto"/>
      </w:divBdr>
    </w:div>
    <w:div w:id="642465081">
      <w:bodyDiv w:val="1"/>
      <w:marLeft w:val="0"/>
      <w:marRight w:val="0"/>
      <w:marTop w:val="0"/>
      <w:marBottom w:val="0"/>
      <w:divBdr>
        <w:top w:val="none" w:sz="0" w:space="0" w:color="auto"/>
        <w:left w:val="none" w:sz="0" w:space="0" w:color="auto"/>
        <w:bottom w:val="none" w:sz="0" w:space="0" w:color="auto"/>
        <w:right w:val="none" w:sz="0" w:space="0" w:color="auto"/>
      </w:divBdr>
    </w:div>
    <w:div w:id="696780407">
      <w:bodyDiv w:val="1"/>
      <w:marLeft w:val="0"/>
      <w:marRight w:val="0"/>
      <w:marTop w:val="0"/>
      <w:marBottom w:val="0"/>
      <w:divBdr>
        <w:top w:val="none" w:sz="0" w:space="0" w:color="auto"/>
        <w:left w:val="none" w:sz="0" w:space="0" w:color="auto"/>
        <w:bottom w:val="none" w:sz="0" w:space="0" w:color="auto"/>
        <w:right w:val="none" w:sz="0" w:space="0" w:color="auto"/>
      </w:divBdr>
    </w:div>
    <w:div w:id="725378219">
      <w:bodyDiv w:val="1"/>
      <w:marLeft w:val="0"/>
      <w:marRight w:val="0"/>
      <w:marTop w:val="0"/>
      <w:marBottom w:val="0"/>
      <w:divBdr>
        <w:top w:val="none" w:sz="0" w:space="0" w:color="auto"/>
        <w:left w:val="none" w:sz="0" w:space="0" w:color="auto"/>
        <w:bottom w:val="none" w:sz="0" w:space="0" w:color="auto"/>
        <w:right w:val="none" w:sz="0" w:space="0" w:color="auto"/>
      </w:divBdr>
    </w:div>
    <w:div w:id="888489602">
      <w:bodyDiv w:val="1"/>
      <w:marLeft w:val="0"/>
      <w:marRight w:val="0"/>
      <w:marTop w:val="0"/>
      <w:marBottom w:val="0"/>
      <w:divBdr>
        <w:top w:val="none" w:sz="0" w:space="0" w:color="auto"/>
        <w:left w:val="none" w:sz="0" w:space="0" w:color="auto"/>
        <w:bottom w:val="none" w:sz="0" w:space="0" w:color="auto"/>
        <w:right w:val="none" w:sz="0" w:space="0" w:color="auto"/>
      </w:divBdr>
    </w:div>
    <w:div w:id="970013388">
      <w:bodyDiv w:val="1"/>
      <w:marLeft w:val="0"/>
      <w:marRight w:val="0"/>
      <w:marTop w:val="0"/>
      <w:marBottom w:val="0"/>
      <w:divBdr>
        <w:top w:val="none" w:sz="0" w:space="0" w:color="auto"/>
        <w:left w:val="none" w:sz="0" w:space="0" w:color="auto"/>
        <w:bottom w:val="none" w:sz="0" w:space="0" w:color="auto"/>
        <w:right w:val="none" w:sz="0" w:space="0" w:color="auto"/>
      </w:divBdr>
    </w:div>
    <w:div w:id="1014921740">
      <w:bodyDiv w:val="1"/>
      <w:marLeft w:val="0"/>
      <w:marRight w:val="0"/>
      <w:marTop w:val="0"/>
      <w:marBottom w:val="0"/>
      <w:divBdr>
        <w:top w:val="none" w:sz="0" w:space="0" w:color="auto"/>
        <w:left w:val="none" w:sz="0" w:space="0" w:color="auto"/>
        <w:bottom w:val="none" w:sz="0" w:space="0" w:color="auto"/>
        <w:right w:val="none" w:sz="0" w:space="0" w:color="auto"/>
      </w:divBdr>
    </w:div>
    <w:div w:id="1040712351">
      <w:bodyDiv w:val="1"/>
      <w:marLeft w:val="0"/>
      <w:marRight w:val="0"/>
      <w:marTop w:val="0"/>
      <w:marBottom w:val="0"/>
      <w:divBdr>
        <w:top w:val="none" w:sz="0" w:space="0" w:color="auto"/>
        <w:left w:val="none" w:sz="0" w:space="0" w:color="auto"/>
        <w:bottom w:val="none" w:sz="0" w:space="0" w:color="auto"/>
        <w:right w:val="none" w:sz="0" w:space="0" w:color="auto"/>
      </w:divBdr>
    </w:div>
    <w:div w:id="1127771871">
      <w:bodyDiv w:val="1"/>
      <w:marLeft w:val="0"/>
      <w:marRight w:val="0"/>
      <w:marTop w:val="0"/>
      <w:marBottom w:val="0"/>
      <w:divBdr>
        <w:top w:val="none" w:sz="0" w:space="0" w:color="auto"/>
        <w:left w:val="none" w:sz="0" w:space="0" w:color="auto"/>
        <w:bottom w:val="none" w:sz="0" w:space="0" w:color="auto"/>
        <w:right w:val="none" w:sz="0" w:space="0" w:color="auto"/>
      </w:divBdr>
    </w:div>
    <w:div w:id="1177304893">
      <w:bodyDiv w:val="1"/>
      <w:marLeft w:val="0"/>
      <w:marRight w:val="0"/>
      <w:marTop w:val="0"/>
      <w:marBottom w:val="0"/>
      <w:divBdr>
        <w:top w:val="none" w:sz="0" w:space="0" w:color="auto"/>
        <w:left w:val="none" w:sz="0" w:space="0" w:color="auto"/>
        <w:bottom w:val="none" w:sz="0" w:space="0" w:color="auto"/>
        <w:right w:val="none" w:sz="0" w:space="0" w:color="auto"/>
      </w:divBdr>
    </w:div>
    <w:div w:id="1245726880">
      <w:bodyDiv w:val="1"/>
      <w:marLeft w:val="0"/>
      <w:marRight w:val="0"/>
      <w:marTop w:val="0"/>
      <w:marBottom w:val="0"/>
      <w:divBdr>
        <w:top w:val="none" w:sz="0" w:space="0" w:color="auto"/>
        <w:left w:val="none" w:sz="0" w:space="0" w:color="auto"/>
        <w:bottom w:val="none" w:sz="0" w:space="0" w:color="auto"/>
        <w:right w:val="none" w:sz="0" w:space="0" w:color="auto"/>
      </w:divBdr>
      <w:divsChild>
        <w:div w:id="1016074350">
          <w:marLeft w:val="0"/>
          <w:marRight w:val="0"/>
          <w:marTop w:val="0"/>
          <w:marBottom w:val="0"/>
          <w:divBdr>
            <w:top w:val="none" w:sz="0" w:space="0" w:color="auto"/>
            <w:left w:val="none" w:sz="0" w:space="0" w:color="auto"/>
            <w:bottom w:val="none" w:sz="0" w:space="0" w:color="auto"/>
            <w:right w:val="none" w:sz="0" w:space="0" w:color="auto"/>
          </w:divBdr>
        </w:div>
      </w:divsChild>
    </w:div>
    <w:div w:id="1341157646">
      <w:bodyDiv w:val="1"/>
      <w:marLeft w:val="0"/>
      <w:marRight w:val="0"/>
      <w:marTop w:val="0"/>
      <w:marBottom w:val="0"/>
      <w:divBdr>
        <w:top w:val="none" w:sz="0" w:space="0" w:color="auto"/>
        <w:left w:val="none" w:sz="0" w:space="0" w:color="auto"/>
        <w:bottom w:val="none" w:sz="0" w:space="0" w:color="auto"/>
        <w:right w:val="none" w:sz="0" w:space="0" w:color="auto"/>
      </w:divBdr>
    </w:div>
    <w:div w:id="1348366921">
      <w:bodyDiv w:val="1"/>
      <w:marLeft w:val="0"/>
      <w:marRight w:val="0"/>
      <w:marTop w:val="0"/>
      <w:marBottom w:val="0"/>
      <w:divBdr>
        <w:top w:val="none" w:sz="0" w:space="0" w:color="auto"/>
        <w:left w:val="none" w:sz="0" w:space="0" w:color="auto"/>
        <w:bottom w:val="none" w:sz="0" w:space="0" w:color="auto"/>
        <w:right w:val="none" w:sz="0" w:space="0" w:color="auto"/>
      </w:divBdr>
    </w:div>
    <w:div w:id="1513110332">
      <w:bodyDiv w:val="1"/>
      <w:marLeft w:val="0"/>
      <w:marRight w:val="0"/>
      <w:marTop w:val="0"/>
      <w:marBottom w:val="0"/>
      <w:divBdr>
        <w:top w:val="none" w:sz="0" w:space="0" w:color="auto"/>
        <w:left w:val="none" w:sz="0" w:space="0" w:color="auto"/>
        <w:bottom w:val="none" w:sz="0" w:space="0" w:color="auto"/>
        <w:right w:val="none" w:sz="0" w:space="0" w:color="auto"/>
      </w:divBdr>
      <w:divsChild>
        <w:div w:id="2004432335">
          <w:marLeft w:val="0"/>
          <w:marRight w:val="0"/>
          <w:marTop w:val="0"/>
          <w:marBottom w:val="0"/>
          <w:divBdr>
            <w:top w:val="none" w:sz="0" w:space="0" w:color="auto"/>
            <w:left w:val="none" w:sz="0" w:space="0" w:color="auto"/>
            <w:bottom w:val="none" w:sz="0" w:space="0" w:color="auto"/>
            <w:right w:val="none" w:sz="0" w:space="0" w:color="auto"/>
          </w:divBdr>
        </w:div>
      </w:divsChild>
    </w:div>
    <w:div w:id="1578859033">
      <w:bodyDiv w:val="1"/>
      <w:marLeft w:val="0"/>
      <w:marRight w:val="0"/>
      <w:marTop w:val="0"/>
      <w:marBottom w:val="0"/>
      <w:divBdr>
        <w:top w:val="none" w:sz="0" w:space="0" w:color="auto"/>
        <w:left w:val="none" w:sz="0" w:space="0" w:color="auto"/>
        <w:bottom w:val="none" w:sz="0" w:space="0" w:color="auto"/>
        <w:right w:val="none" w:sz="0" w:space="0" w:color="auto"/>
      </w:divBdr>
    </w:div>
    <w:div w:id="1641839655">
      <w:bodyDiv w:val="1"/>
      <w:marLeft w:val="0"/>
      <w:marRight w:val="0"/>
      <w:marTop w:val="0"/>
      <w:marBottom w:val="0"/>
      <w:divBdr>
        <w:top w:val="none" w:sz="0" w:space="0" w:color="auto"/>
        <w:left w:val="none" w:sz="0" w:space="0" w:color="auto"/>
        <w:bottom w:val="none" w:sz="0" w:space="0" w:color="auto"/>
        <w:right w:val="none" w:sz="0" w:space="0" w:color="auto"/>
      </w:divBdr>
    </w:div>
    <w:div w:id="1762607721">
      <w:bodyDiv w:val="1"/>
      <w:marLeft w:val="0"/>
      <w:marRight w:val="0"/>
      <w:marTop w:val="0"/>
      <w:marBottom w:val="0"/>
      <w:divBdr>
        <w:top w:val="none" w:sz="0" w:space="0" w:color="auto"/>
        <w:left w:val="none" w:sz="0" w:space="0" w:color="auto"/>
        <w:bottom w:val="none" w:sz="0" w:space="0" w:color="auto"/>
        <w:right w:val="none" w:sz="0" w:space="0" w:color="auto"/>
      </w:divBdr>
    </w:div>
    <w:div w:id="1763377401">
      <w:bodyDiv w:val="1"/>
      <w:marLeft w:val="0"/>
      <w:marRight w:val="0"/>
      <w:marTop w:val="0"/>
      <w:marBottom w:val="0"/>
      <w:divBdr>
        <w:top w:val="none" w:sz="0" w:space="0" w:color="auto"/>
        <w:left w:val="none" w:sz="0" w:space="0" w:color="auto"/>
        <w:bottom w:val="none" w:sz="0" w:space="0" w:color="auto"/>
        <w:right w:val="none" w:sz="0" w:space="0" w:color="auto"/>
      </w:divBdr>
    </w:div>
    <w:div w:id="1805124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winandari@gmail.com" TargetMode="External"/><Relationship Id="rId12" Type="http://schemas.openxmlformats.org/officeDocument/2006/relationships/hyperlink" Target="https://doi.org/10.19080/ARR.2022.07.55570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9080/arr.2021.06.55569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td.repository.ugm.ac.id/" TargetMode="External"/><Relationship Id="rId4" Type="http://schemas.openxmlformats.org/officeDocument/2006/relationships/webSettings" Target="webSettings.xml"/><Relationship Id="rId9" Type="http://schemas.openxmlformats.org/officeDocument/2006/relationships/hyperlink" Target="https://www.ncbi.nlm.nih.gov/books/NBK53830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6151</Words>
  <Characters>35067</Characters>
  <Application>Microsoft Office Word</Application>
  <DocSecurity>0</DocSecurity>
  <Lines>292</Lines>
  <Paragraphs>82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The Undergraduate Medical Study Program. Faculty of Medicine, Universitas Udayan</vt:lpstr>
      <vt:lpstr>    </vt:lpstr>
      <vt:lpstr>    Kata kunci	: cedera kepala, karakteristik pasien, kecelakaan lalu lintas, tatala</vt:lpstr>
      <vt:lpstr>    </vt:lpstr>
      <vt:lpstr>    ABSTRACT</vt:lpstr>
      <vt:lpstr>    </vt:lpstr>
      <vt:lpstr>    Keywords	: head injury, patient characteristics, traffic accidents, traumatic op</vt:lpstr>
      <vt:lpstr>    DISCUSSION</vt:lpstr>
      <vt:lpstr>    CONCLUSIONS </vt:lpstr>
      <vt:lpstr>    </vt:lpstr>
      <vt:lpstr>    </vt:lpstr>
      <vt:lpstr>    REFERENCES</vt:lpstr>
    </vt:vector>
  </TitlesOfParts>
  <Company/>
  <LinksUpToDate>false</LinksUpToDate>
  <CharactersWithSpaces>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2025-01-29T06:19:00Z</dcterms:created>
  <dcterms:modified xsi:type="dcterms:W3CDTF">2025-02-07T10:57:00Z</dcterms:modified>
</cp:coreProperties>
</file>